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4"/>
        <w:gridCol w:w="6359"/>
        <w:gridCol w:w="834"/>
        <w:gridCol w:w="6115"/>
      </w:tblGrid>
      <w:tr w:rsidR="002E03C3" w:rsidRPr="002E03C3" w:rsidTr="002B71FE">
        <w:tc>
          <w:tcPr>
            <w:tcW w:w="834" w:type="dxa"/>
          </w:tcPr>
          <w:p w:rsidR="002E03C3" w:rsidRPr="002E03C3" w:rsidRDefault="002E03C3" w:rsidP="002E03C3">
            <w:pPr>
              <w:rPr>
                <w:b/>
                <w:bCs/>
              </w:rPr>
            </w:pPr>
            <w:r w:rsidRPr="002E03C3">
              <w:rPr>
                <w:b/>
                <w:bCs/>
              </w:rPr>
              <w:t>Pkt</w:t>
            </w:r>
          </w:p>
        </w:tc>
        <w:tc>
          <w:tcPr>
            <w:tcW w:w="6359" w:type="dxa"/>
          </w:tcPr>
          <w:p w:rsidR="002E03C3" w:rsidRPr="002E03C3" w:rsidRDefault="002E03C3" w:rsidP="002E03C3">
            <w:pPr>
              <w:rPr>
                <w:b/>
                <w:bCs/>
              </w:rPr>
            </w:pPr>
            <w:r w:rsidRPr="002E03C3">
              <w:rPr>
                <w:b/>
                <w:bCs/>
              </w:rPr>
              <w:t xml:space="preserve">SSA-K versjon </w:t>
            </w:r>
            <w:r w:rsidR="00666BCB" w:rsidRPr="002E03C3">
              <w:rPr>
                <w:b/>
                <w:bCs/>
              </w:rPr>
              <w:t>03-04-2009</w:t>
            </w:r>
            <w:r w:rsidR="00D575FD">
              <w:rPr>
                <w:b/>
                <w:bCs/>
              </w:rPr>
              <w:t xml:space="preserve"> (sist endret 01-07-2012)</w:t>
            </w:r>
          </w:p>
        </w:tc>
        <w:tc>
          <w:tcPr>
            <w:tcW w:w="834" w:type="dxa"/>
          </w:tcPr>
          <w:p w:rsidR="002E03C3" w:rsidRPr="002E03C3" w:rsidRDefault="002E03C3" w:rsidP="002E03C3">
            <w:pPr>
              <w:rPr>
                <w:b/>
                <w:bCs/>
              </w:rPr>
            </w:pPr>
            <w:r w:rsidRPr="002E03C3">
              <w:rPr>
                <w:b/>
                <w:bCs/>
              </w:rPr>
              <w:t>Pkt</w:t>
            </w:r>
          </w:p>
        </w:tc>
        <w:tc>
          <w:tcPr>
            <w:tcW w:w="6115" w:type="dxa"/>
          </w:tcPr>
          <w:p w:rsidR="002E03C3" w:rsidRPr="002E03C3" w:rsidRDefault="002E03C3" w:rsidP="00B80986">
            <w:pPr>
              <w:rPr>
                <w:b/>
                <w:bCs/>
              </w:rPr>
            </w:pPr>
            <w:r w:rsidRPr="002E03C3">
              <w:rPr>
                <w:b/>
                <w:bCs/>
              </w:rPr>
              <w:t xml:space="preserve">SSA-K ny versjon </w:t>
            </w:r>
            <w:r w:rsidR="00B80986">
              <w:rPr>
                <w:b/>
                <w:bCs/>
              </w:rPr>
              <w:t>0</w:t>
            </w:r>
            <w:r w:rsidR="00666BCB">
              <w:rPr>
                <w:b/>
                <w:bCs/>
              </w:rPr>
              <w:t>1-1</w:t>
            </w:r>
            <w:r w:rsidR="00B80986">
              <w:rPr>
                <w:b/>
                <w:bCs/>
              </w:rPr>
              <w:t>2</w:t>
            </w:r>
            <w:r w:rsidR="00666BCB">
              <w:rPr>
                <w:b/>
                <w:bCs/>
              </w:rPr>
              <w:t>-2013</w:t>
            </w:r>
          </w:p>
        </w:tc>
      </w:tr>
      <w:tr w:rsidR="002E03C3" w:rsidRPr="002E03C3" w:rsidTr="002B71FE">
        <w:tc>
          <w:tcPr>
            <w:tcW w:w="834" w:type="dxa"/>
          </w:tcPr>
          <w:p w:rsidR="002E03C3" w:rsidRDefault="00D575FD" w:rsidP="002E03C3">
            <w:pPr>
              <w:rPr>
                <w:b/>
                <w:bCs/>
              </w:rPr>
            </w:pPr>
            <w:r>
              <w:rPr>
                <w:b/>
                <w:bCs/>
              </w:rPr>
              <w:t>1.5</w:t>
            </w:r>
          </w:p>
          <w:p w:rsidR="0040746B" w:rsidRPr="002E03C3" w:rsidRDefault="0040746B" w:rsidP="002E03C3">
            <w:pPr>
              <w:rPr>
                <w:b/>
                <w:bCs/>
              </w:rPr>
            </w:pPr>
            <w:r>
              <w:rPr>
                <w:b/>
                <w:bCs/>
              </w:rPr>
              <w:t>(hele)</w:t>
            </w:r>
          </w:p>
        </w:tc>
        <w:tc>
          <w:tcPr>
            <w:tcW w:w="6359" w:type="dxa"/>
          </w:tcPr>
          <w:p w:rsidR="00B947ED" w:rsidRPr="00B947ED" w:rsidRDefault="00B947ED" w:rsidP="002E03C3">
            <w:pPr>
              <w:rPr>
                <w:b/>
              </w:rPr>
            </w:pPr>
            <w:r w:rsidRPr="00B947ED">
              <w:rPr>
                <w:b/>
              </w:rPr>
              <w:t xml:space="preserve">Rett til avtale om vedlikehold og service </w:t>
            </w:r>
          </w:p>
          <w:p w:rsidR="00B947ED" w:rsidRDefault="00B947ED" w:rsidP="00B947ED">
            <w:r>
              <w:t>Kunden har rett til å inngå avtale om vedlikehold og service med Leverandøren, eller med tredjepart som etter nærmere avtale kan utføre dette på Leverandørens vegne. Dersom partene ikke avtaler annet skal slik avtale inngås på grunnlag av en av Statens standardavtaler om vedlikehold og service av utstyr og programmer.</w:t>
            </w:r>
          </w:p>
          <w:p w:rsidR="00B947ED" w:rsidRDefault="00B947ED" w:rsidP="00B947ED">
            <w:r>
              <w:t>Avtale om vedlikehold og service bør inngås samtidig med denne avtalen. Hvis slik avtale ikke inngås samtidig med denne avtalen, har Leverandøren plikt til i 2 (to) år fra utløpet av godkjenningsperioden å inngå slik avtale når Kunden ønsker det. Kunden har i så fall rett til å kreve ytelser og prismessige betingelser som ikke er dårligere enn Leverandørens alminnelige betingelser (f. eks listepriser) på tidspunktet for inngåelse av vedlikeholdsavtalen.</w:t>
            </w:r>
          </w:p>
          <w:p w:rsidR="002E03C3" w:rsidRPr="002E03C3" w:rsidRDefault="00B947ED" w:rsidP="00BE038E">
            <w:r>
              <w:t>I denne perioden er Leverandøren forpliktet til å opprettholde tilgang på nødvendig kompetanse på ytelser som er levert etter denne avtalen.</w:t>
            </w:r>
          </w:p>
        </w:tc>
        <w:tc>
          <w:tcPr>
            <w:tcW w:w="834" w:type="dxa"/>
          </w:tcPr>
          <w:p w:rsidR="002E03C3" w:rsidRDefault="002E03C3" w:rsidP="00B947ED">
            <w:pPr>
              <w:rPr>
                <w:b/>
                <w:bCs/>
              </w:rPr>
            </w:pPr>
            <w:r w:rsidRPr="002E03C3">
              <w:rPr>
                <w:b/>
                <w:bCs/>
              </w:rPr>
              <w:t>1.</w:t>
            </w:r>
            <w:r w:rsidR="00B947ED">
              <w:rPr>
                <w:b/>
                <w:bCs/>
              </w:rPr>
              <w:t>5</w:t>
            </w:r>
          </w:p>
          <w:p w:rsidR="0040746B" w:rsidRPr="002E03C3" w:rsidRDefault="0040746B" w:rsidP="0040746B">
            <w:pPr>
              <w:rPr>
                <w:b/>
                <w:bCs/>
              </w:rPr>
            </w:pPr>
            <w:r>
              <w:rPr>
                <w:b/>
                <w:bCs/>
              </w:rPr>
              <w:t>(hele)</w:t>
            </w:r>
          </w:p>
        </w:tc>
        <w:tc>
          <w:tcPr>
            <w:tcW w:w="6115" w:type="dxa"/>
          </w:tcPr>
          <w:p w:rsidR="002E03C3" w:rsidRDefault="00BE038E" w:rsidP="00B947ED">
            <w:pPr>
              <w:rPr>
                <w:b/>
                <w:i/>
                <w:iCs/>
              </w:rPr>
            </w:pPr>
            <w:r>
              <w:rPr>
                <w:b/>
                <w:i/>
              </w:rPr>
              <w:t>O</w:t>
            </w:r>
            <w:r w:rsidR="00B947ED" w:rsidRPr="00B947ED">
              <w:rPr>
                <w:b/>
                <w:i/>
              </w:rPr>
              <w:t>psjon</w:t>
            </w:r>
            <w:r w:rsidR="00B947ED" w:rsidRPr="00B947ED">
              <w:rPr>
                <w:b/>
              </w:rPr>
              <w:t xml:space="preserve"> på avtale om vedlikehold og service</w:t>
            </w:r>
            <w:r w:rsidR="00B947ED" w:rsidRPr="00B947ED">
              <w:rPr>
                <w:b/>
                <w:i/>
                <w:iCs/>
              </w:rPr>
              <w:t xml:space="preserve"> </w:t>
            </w:r>
          </w:p>
          <w:p w:rsidR="00B947ED" w:rsidRDefault="00B947ED" w:rsidP="00B947ED">
            <w:pPr>
              <w:rPr>
                <w:color w:val="FF0000"/>
              </w:rPr>
            </w:pPr>
            <w:r w:rsidRPr="005D527D">
              <w:t xml:space="preserve">Kunden har </w:t>
            </w:r>
            <w:r w:rsidRPr="00B947ED">
              <w:rPr>
                <w:i/>
              </w:rPr>
              <w:t xml:space="preserve">opsjon på </w:t>
            </w:r>
            <w:r w:rsidRPr="005D527D">
              <w:t>å inngå avtale om vedlikehold og service med Leverandøren</w:t>
            </w:r>
            <w:r>
              <w:t xml:space="preserve">. </w:t>
            </w:r>
            <w:r w:rsidRPr="00B947ED">
              <w:rPr>
                <w:i/>
              </w:rPr>
              <w:t xml:space="preserve">Opsjonen må løses ut senest innen Leveringsdag eller innen utløpet av eventuell Garantiperiode. </w:t>
            </w:r>
          </w:p>
          <w:p w:rsidR="00B947ED" w:rsidRPr="00B947ED" w:rsidRDefault="00B947ED" w:rsidP="00B947ED">
            <w:pPr>
              <w:rPr>
                <w:i/>
              </w:rPr>
            </w:pPr>
            <w:r w:rsidRPr="005D527D">
              <w:t>Dersom partene ikke avtaler annet skal slik avtale inngås på grunnlag av en av Statens standardavtaler om vedlikehold og service av utstyr og programmer.</w:t>
            </w:r>
            <w:r w:rsidRPr="00B947ED">
              <w:rPr>
                <w:i/>
              </w:rPr>
              <w:t xml:space="preserve"> </w:t>
            </w:r>
            <w:r w:rsidR="00B80986" w:rsidRPr="00B80986">
              <w:rPr>
                <w:i/>
              </w:rPr>
              <w:t>Priser og nærmere betingelser for det vederlaget Kunden skal betale for Leverandørens ytelser fremgår av bilag 7.</w:t>
            </w:r>
          </w:p>
          <w:p w:rsidR="00B947ED" w:rsidRPr="002E03C3" w:rsidRDefault="00B947ED" w:rsidP="00BE038E"/>
        </w:tc>
      </w:tr>
      <w:tr w:rsidR="002E03C3" w:rsidRPr="002E03C3" w:rsidTr="002B71FE">
        <w:tc>
          <w:tcPr>
            <w:tcW w:w="834" w:type="dxa"/>
          </w:tcPr>
          <w:p w:rsidR="002E03C3" w:rsidRDefault="00BE038E" w:rsidP="002E03C3">
            <w:pPr>
              <w:rPr>
                <w:b/>
                <w:bCs/>
              </w:rPr>
            </w:pPr>
            <w:r>
              <w:rPr>
                <w:b/>
                <w:bCs/>
              </w:rPr>
              <w:t>2.3.4</w:t>
            </w:r>
            <w:r w:rsidR="0040746B">
              <w:rPr>
                <w:b/>
                <w:bCs/>
              </w:rPr>
              <w:t xml:space="preserve"> </w:t>
            </w:r>
          </w:p>
          <w:p w:rsidR="0040746B" w:rsidRPr="002E03C3" w:rsidRDefault="0040746B" w:rsidP="002E03C3">
            <w:pPr>
              <w:rPr>
                <w:b/>
                <w:bCs/>
              </w:rPr>
            </w:pPr>
            <w:r>
              <w:rPr>
                <w:b/>
                <w:bCs/>
              </w:rPr>
              <w:t>(siste avsnitt)</w:t>
            </w:r>
          </w:p>
        </w:tc>
        <w:tc>
          <w:tcPr>
            <w:tcW w:w="6359" w:type="dxa"/>
          </w:tcPr>
          <w:p w:rsidR="002E03C3" w:rsidRPr="00BE038E" w:rsidRDefault="00BE038E" w:rsidP="002E03C3">
            <w:pPr>
              <w:rPr>
                <w:b/>
              </w:rPr>
            </w:pPr>
            <w:r w:rsidRPr="00BE038E">
              <w:rPr>
                <w:b/>
              </w:rPr>
              <w:t>Endelig godkjenning –</w:t>
            </w:r>
            <w:r>
              <w:rPr>
                <w:b/>
              </w:rPr>
              <w:t xml:space="preserve"> Leveringsdag</w:t>
            </w:r>
          </w:p>
          <w:p w:rsidR="00BE038E" w:rsidRPr="002E03C3" w:rsidRDefault="00BE038E" w:rsidP="0040746B">
            <w:r>
              <w:t>Kundens godkjennelse er ikke til hinder for at Kunden senere kan kreve utbedret feil og mangler som Kunden ikke oppdaget i godkjenningsperioden, eller feil som ikke er rettet av Leverandøren i godkjenningsperioden. Leverandørens eventuelle krav på dekning av ekstra utgifter er regulert i punkt 4.3.</w:t>
            </w:r>
          </w:p>
        </w:tc>
        <w:tc>
          <w:tcPr>
            <w:tcW w:w="834" w:type="dxa"/>
          </w:tcPr>
          <w:p w:rsidR="0040746B" w:rsidRDefault="00BE038E" w:rsidP="0040746B">
            <w:pPr>
              <w:rPr>
                <w:b/>
                <w:bCs/>
              </w:rPr>
            </w:pPr>
            <w:r>
              <w:rPr>
                <w:b/>
                <w:bCs/>
              </w:rPr>
              <w:t>2.3.4</w:t>
            </w:r>
          </w:p>
          <w:p w:rsidR="0040746B" w:rsidRPr="002E03C3" w:rsidRDefault="0040746B" w:rsidP="0040746B">
            <w:pPr>
              <w:rPr>
                <w:b/>
                <w:bCs/>
              </w:rPr>
            </w:pPr>
            <w:r>
              <w:rPr>
                <w:b/>
                <w:bCs/>
              </w:rPr>
              <w:t>(siste avsnitt)</w:t>
            </w:r>
            <w:r>
              <w:rPr>
                <w:b/>
                <w:bCs/>
              </w:rPr>
              <w:br/>
            </w:r>
          </w:p>
        </w:tc>
        <w:tc>
          <w:tcPr>
            <w:tcW w:w="6115" w:type="dxa"/>
          </w:tcPr>
          <w:p w:rsidR="00BE038E" w:rsidRPr="00BE038E" w:rsidRDefault="00BE038E" w:rsidP="00BE038E">
            <w:pPr>
              <w:rPr>
                <w:b/>
              </w:rPr>
            </w:pPr>
            <w:r w:rsidRPr="00BE038E">
              <w:rPr>
                <w:b/>
              </w:rPr>
              <w:t>Endelig godkjenning –</w:t>
            </w:r>
            <w:r>
              <w:rPr>
                <w:b/>
              </w:rPr>
              <w:t xml:space="preserve"> Leveringsdag</w:t>
            </w:r>
            <w:r w:rsidR="0040746B">
              <w:rPr>
                <w:b/>
              </w:rPr>
              <w:t xml:space="preserve"> </w:t>
            </w:r>
          </w:p>
          <w:p w:rsidR="002E03C3" w:rsidRPr="002E03C3" w:rsidRDefault="00BE038E" w:rsidP="0040746B">
            <w:r w:rsidRPr="00BB521E">
              <w:t>Kundens godkjennelse er ikke til hinder for at Kunden senere kan kreve utbedret feil og mangler som Kunden ikke oppdaget i godkjenningsperioden</w:t>
            </w:r>
            <w:r w:rsidRPr="00B73B87">
              <w:t xml:space="preserve"> </w:t>
            </w:r>
            <w:r w:rsidRPr="0040746B">
              <w:rPr>
                <w:i/>
              </w:rPr>
              <w:t>og som han heller ikke burde oppdage</w:t>
            </w:r>
            <w:r w:rsidR="0040746B" w:rsidRPr="0040746B">
              <w:rPr>
                <w:i/>
              </w:rPr>
              <w:t>t</w:t>
            </w:r>
            <w:r w:rsidRPr="00BB521E">
              <w:t>, eller feil som ikke er rettet av Leverandøren i godkjenningsperioden. Leverandørens eventuelle krav på dekning av ekstra utgifter er regulert i punkt 4.3.</w:t>
            </w:r>
            <w:r>
              <w:t xml:space="preserve"> </w:t>
            </w:r>
          </w:p>
        </w:tc>
      </w:tr>
      <w:tr w:rsidR="002B71FE" w:rsidRPr="002E03C3" w:rsidTr="002B71FE">
        <w:tc>
          <w:tcPr>
            <w:tcW w:w="834" w:type="dxa"/>
          </w:tcPr>
          <w:p w:rsidR="002B71FE" w:rsidRPr="002E03C3" w:rsidRDefault="002B71FE" w:rsidP="002E03C3">
            <w:pPr>
              <w:rPr>
                <w:b/>
                <w:bCs/>
              </w:rPr>
            </w:pPr>
            <w:r w:rsidRPr="002E03C3">
              <w:rPr>
                <w:b/>
                <w:bCs/>
              </w:rPr>
              <w:lastRenderedPageBreak/>
              <w:t>3</w:t>
            </w:r>
            <w:r>
              <w:rPr>
                <w:b/>
                <w:bCs/>
              </w:rPr>
              <w:t>.1 (siste avsnitt)</w:t>
            </w:r>
          </w:p>
        </w:tc>
        <w:tc>
          <w:tcPr>
            <w:tcW w:w="6359" w:type="dxa"/>
          </w:tcPr>
          <w:p w:rsidR="002B71FE" w:rsidRPr="002B71FE" w:rsidRDefault="002B71FE" w:rsidP="002E03C3">
            <w:pPr>
              <w:rPr>
                <w:b/>
                <w:bCs/>
              </w:rPr>
            </w:pPr>
            <w:bookmarkStart w:id="0" w:name="_Toc328659213"/>
            <w:r w:rsidRPr="002B71FE">
              <w:rPr>
                <w:b/>
              </w:rPr>
              <w:t>Rett til endringer av avtalens innhold (leveranseendring)</w:t>
            </w:r>
            <w:bookmarkEnd w:id="0"/>
          </w:p>
          <w:p w:rsidR="002B71FE" w:rsidRDefault="002B71FE" w:rsidP="002B71FE">
            <w:r>
              <w:t xml:space="preserve">Dersom Leverandørens samlede vederlag etter fradrag og tillegg reduseres med mer enn 15 (femten) prosent av den opprinnelige kontraktsprisen, skal reduksjonen behandles som delvis avbestilling, jf. punkt 2.4. </w:t>
            </w:r>
          </w:p>
          <w:p w:rsidR="002B71FE" w:rsidRPr="002E03C3" w:rsidRDefault="002B71FE" w:rsidP="002E03C3"/>
        </w:tc>
        <w:tc>
          <w:tcPr>
            <w:tcW w:w="834" w:type="dxa"/>
          </w:tcPr>
          <w:p w:rsidR="002B71FE" w:rsidRPr="002E03C3" w:rsidRDefault="002B71FE" w:rsidP="002B71FE">
            <w:pPr>
              <w:rPr>
                <w:b/>
                <w:bCs/>
              </w:rPr>
            </w:pPr>
            <w:r w:rsidRPr="002E03C3">
              <w:rPr>
                <w:b/>
                <w:bCs/>
              </w:rPr>
              <w:t>3</w:t>
            </w:r>
            <w:r>
              <w:rPr>
                <w:b/>
                <w:bCs/>
              </w:rPr>
              <w:t>.1 (nytt tredje avsnitt)</w:t>
            </w:r>
          </w:p>
        </w:tc>
        <w:tc>
          <w:tcPr>
            <w:tcW w:w="6115" w:type="dxa"/>
          </w:tcPr>
          <w:p w:rsidR="002B71FE" w:rsidRPr="002B71FE" w:rsidRDefault="002B71FE" w:rsidP="002B71FE">
            <w:pPr>
              <w:rPr>
                <w:b/>
                <w:bCs/>
              </w:rPr>
            </w:pPr>
            <w:r w:rsidRPr="002B71FE">
              <w:rPr>
                <w:b/>
              </w:rPr>
              <w:t>Rett til endringer av avtalens innhold (leveranseendring)</w:t>
            </w:r>
          </w:p>
          <w:p w:rsidR="002B71FE" w:rsidRDefault="002B71FE" w:rsidP="002B71FE">
            <w:pPr>
              <w:rPr>
                <w:i/>
              </w:rPr>
            </w:pPr>
            <w:r w:rsidRPr="002B71FE">
              <w:rPr>
                <w:i/>
              </w:rPr>
              <w:t>Dersom anskaffelsen er underlagt regelverket for offentlige anskaffelser, gjelder bestemmelsen kun i den grad Kunden finner dette i tr</w:t>
            </w:r>
            <w:r>
              <w:rPr>
                <w:i/>
              </w:rPr>
              <w:t>åd med anskaffelsesregelverket.</w:t>
            </w:r>
          </w:p>
          <w:p w:rsidR="002B71FE" w:rsidRPr="002E03C3" w:rsidRDefault="002B71FE" w:rsidP="00062D43">
            <w:pPr>
              <w:rPr>
                <w:i/>
                <w:iCs/>
              </w:rPr>
            </w:pPr>
            <w:r>
              <w:t xml:space="preserve">Dersom Leverandørens samlede vederlag etter fradrag og tillegg reduseres med mer enn 15 (femten) prosent av den opprinnelige kontraktsprisen, skal reduksjonen behandles som delvis avbestilling, jf. punkt </w:t>
            </w:r>
            <w:r w:rsidRPr="00062D43">
              <w:rPr>
                <w:i/>
              </w:rPr>
              <w:t>4.</w:t>
            </w:r>
            <w:r w:rsidR="00062D43" w:rsidRPr="00062D43">
              <w:rPr>
                <w:i/>
              </w:rPr>
              <w:t>2</w:t>
            </w:r>
            <w:r w:rsidR="00062D43">
              <w:t>.</w:t>
            </w:r>
            <w:r>
              <w:t xml:space="preserve"> </w:t>
            </w:r>
          </w:p>
        </w:tc>
      </w:tr>
      <w:tr w:rsidR="002B71FE" w:rsidRPr="002E03C3" w:rsidTr="002B71FE">
        <w:tc>
          <w:tcPr>
            <w:tcW w:w="834" w:type="dxa"/>
          </w:tcPr>
          <w:p w:rsidR="002B71FE" w:rsidRPr="002E03C3" w:rsidRDefault="0051510E" w:rsidP="002E03C3">
            <w:pPr>
              <w:rPr>
                <w:b/>
                <w:bCs/>
              </w:rPr>
            </w:pPr>
            <w:r>
              <w:rPr>
                <w:b/>
                <w:bCs/>
              </w:rPr>
              <w:t>5.3</w:t>
            </w:r>
          </w:p>
        </w:tc>
        <w:tc>
          <w:tcPr>
            <w:tcW w:w="6359" w:type="dxa"/>
          </w:tcPr>
          <w:p w:rsidR="0051510E" w:rsidRPr="0051510E" w:rsidRDefault="0051510E" w:rsidP="002E03C3">
            <w:pPr>
              <w:rPr>
                <w:b/>
              </w:rPr>
            </w:pPr>
            <w:r w:rsidRPr="0051510E">
              <w:rPr>
                <w:b/>
              </w:rPr>
              <w:t>Bruk av under</w:t>
            </w:r>
            <w:r w:rsidRPr="0051510E">
              <w:rPr>
                <w:b/>
              </w:rPr>
              <w:softHyphen/>
              <w:t xml:space="preserve">leverandør </w:t>
            </w:r>
          </w:p>
          <w:p w:rsidR="0051510E" w:rsidRDefault="0051510E" w:rsidP="0051510E">
            <w:r>
              <w:t xml:space="preserve">Leverandørens bruk og utskifting av underleverandør skal godkjennes skriftlig av Kunden. Godkjennelse kan ikke nektes uten saklig grunn. </w:t>
            </w:r>
          </w:p>
          <w:p w:rsidR="002B71FE" w:rsidRPr="002E03C3" w:rsidRDefault="0051510E" w:rsidP="0051510E">
            <w:r>
              <w:t>Underleverandør som er godkjent skal angis i bilag 6.</w:t>
            </w:r>
          </w:p>
        </w:tc>
        <w:tc>
          <w:tcPr>
            <w:tcW w:w="834" w:type="dxa"/>
          </w:tcPr>
          <w:p w:rsidR="002B71FE" w:rsidRPr="002E03C3" w:rsidRDefault="0051510E" w:rsidP="002E03C3">
            <w:pPr>
              <w:rPr>
                <w:b/>
                <w:bCs/>
              </w:rPr>
            </w:pPr>
            <w:r>
              <w:rPr>
                <w:b/>
                <w:bCs/>
              </w:rPr>
              <w:t>5.3</w:t>
            </w:r>
            <w:r w:rsidR="00FF5C17">
              <w:rPr>
                <w:b/>
                <w:bCs/>
              </w:rPr>
              <w:t xml:space="preserve"> (nytt andre avsnitt)</w:t>
            </w:r>
          </w:p>
        </w:tc>
        <w:tc>
          <w:tcPr>
            <w:tcW w:w="6115" w:type="dxa"/>
          </w:tcPr>
          <w:p w:rsidR="0051510E" w:rsidRPr="0051510E" w:rsidRDefault="0051510E" w:rsidP="0051510E">
            <w:pPr>
              <w:rPr>
                <w:b/>
              </w:rPr>
            </w:pPr>
            <w:r w:rsidRPr="0051510E">
              <w:rPr>
                <w:b/>
              </w:rPr>
              <w:t>Bruk av under</w:t>
            </w:r>
            <w:r w:rsidRPr="0051510E">
              <w:rPr>
                <w:b/>
              </w:rPr>
              <w:softHyphen/>
              <w:t xml:space="preserve">leverandør </w:t>
            </w:r>
          </w:p>
          <w:p w:rsidR="0051510E" w:rsidRDefault="0051510E" w:rsidP="0051510E">
            <w:r>
              <w:t xml:space="preserve">Leverandørens bruk og utskifting av underleverandør skal godkjennes skriftlig av Kunden. Godkjennelse kan ikke nektes uten saklig grunn. </w:t>
            </w:r>
          </w:p>
          <w:p w:rsidR="0051510E" w:rsidRPr="0051510E" w:rsidRDefault="0051510E" w:rsidP="0051510E">
            <w:pPr>
              <w:rPr>
                <w:i/>
              </w:rPr>
            </w:pPr>
            <w:r w:rsidRPr="0051510E">
              <w:rPr>
                <w:i/>
              </w:rPr>
              <w:t>Dersom anskaffelsen er underlagt regelverket for offentlige anskaffelser, gjelder bestemmelsen kun i den grad Kunden finner dette i tråd med anskaffelsesregelverket.</w:t>
            </w:r>
          </w:p>
          <w:p w:rsidR="002B71FE" w:rsidRPr="002E03C3" w:rsidRDefault="0051510E" w:rsidP="0051510E">
            <w:r>
              <w:t>Underleverandør som er godkjent skal angis i bilag 6.</w:t>
            </w:r>
          </w:p>
        </w:tc>
      </w:tr>
      <w:tr w:rsidR="00C974A0" w:rsidRPr="002E03C3" w:rsidTr="002B71FE">
        <w:tc>
          <w:tcPr>
            <w:tcW w:w="834" w:type="dxa"/>
          </w:tcPr>
          <w:p w:rsidR="00C974A0" w:rsidRDefault="00C974A0" w:rsidP="002E03C3">
            <w:pPr>
              <w:rPr>
                <w:b/>
                <w:bCs/>
              </w:rPr>
            </w:pPr>
            <w:r>
              <w:rPr>
                <w:b/>
                <w:bCs/>
              </w:rPr>
              <w:t>11.5.2</w:t>
            </w:r>
            <w:r w:rsidR="006F0416">
              <w:rPr>
                <w:b/>
                <w:bCs/>
              </w:rPr>
              <w:t xml:space="preserve"> </w:t>
            </w:r>
          </w:p>
          <w:p w:rsidR="006F0416" w:rsidRDefault="006F0416" w:rsidP="002E03C3">
            <w:pPr>
              <w:rPr>
                <w:b/>
                <w:bCs/>
              </w:rPr>
            </w:pPr>
            <w:r>
              <w:rPr>
                <w:b/>
                <w:bCs/>
              </w:rPr>
              <w:t>(første og andre avsnitt)</w:t>
            </w:r>
          </w:p>
        </w:tc>
        <w:tc>
          <w:tcPr>
            <w:tcW w:w="6359" w:type="dxa"/>
          </w:tcPr>
          <w:p w:rsidR="00C974A0" w:rsidRPr="00C974A0" w:rsidRDefault="00C974A0" w:rsidP="00C974A0">
            <w:pPr>
              <w:pStyle w:val="Overskrift3"/>
              <w:tabs>
                <w:tab w:val="num" w:pos="0"/>
              </w:tabs>
              <w:rPr>
                <w:rFonts w:asciiTheme="minorHAnsi" w:eastAsiaTheme="minorHAnsi" w:hAnsiTheme="minorHAnsi" w:cstheme="minorBidi"/>
                <w:bCs w:val="0"/>
                <w:lang w:eastAsia="en-US"/>
              </w:rPr>
            </w:pPr>
            <w:bookmarkStart w:id="1" w:name="_Toc328659278"/>
            <w:r w:rsidRPr="00C974A0">
              <w:rPr>
                <w:rFonts w:asciiTheme="minorHAnsi" w:eastAsiaTheme="minorHAnsi" w:hAnsiTheme="minorHAnsi" w:cstheme="minorBidi"/>
                <w:bCs w:val="0"/>
                <w:lang w:eastAsia="en-US"/>
              </w:rPr>
              <w:t>Dagbot ved forsinkelse</w:t>
            </w:r>
            <w:bookmarkEnd w:id="1"/>
          </w:p>
          <w:p w:rsidR="00C974A0" w:rsidRDefault="00C974A0" w:rsidP="00C974A0">
            <w:r>
              <w:t>Blir ikke avtalt tidspunkt for installasjonsdag, oppstart godkjenningsperiode, leveringsdag eller annen frist som partene i bilag 4 har knyttet dagbøter til, overholdt, og det ikke skyldes force majeure eller Kundens forhold, foreligger en forsinkelse fra Leverandørens side som gir grunnlag for dagbot.</w:t>
            </w:r>
          </w:p>
          <w:p w:rsidR="00C974A0" w:rsidRDefault="00C974A0" w:rsidP="00C974A0">
            <w:r>
              <w:t xml:space="preserve">Dagboten påløper automatisk. Dagboten utgjør 0,15 prosent av </w:t>
            </w:r>
            <w:r>
              <w:lastRenderedPageBreak/>
              <w:t>samlet vederlag for leveransen (kontraktssummen) ekskl. merverdiavgift for hver kalenderdag forsinkelsen varer, men begrenset til maksimalt 100 (hundre) kalenderdager.</w:t>
            </w:r>
          </w:p>
          <w:p w:rsidR="00C974A0" w:rsidRPr="0051510E" w:rsidRDefault="00C974A0" w:rsidP="00C974A0">
            <w:pPr>
              <w:rPr>
                <w:b/>
              </w:rPr>
            </w:pPr>
          </w:p>
        </w:tc>
        <w:tc>
          <w:tcPr>
            <w:tcW w:w="834" w:type="dxa"/>
          </w:tcPr>
          <w:p w:rsidR="00C974A0" w:rsidRDefault="00C974A0" w:rsidP="002E03C3">
            <w:pPr>
              <w:rPr>
                <w:b/>
                <w:bCs/>
              </w:rPr>
            </w:pPr>
            <w:r>
              <w:rPr>
                <w:b/>
                <w:bCs/>
              </w:rPr>
              <w:lastRenderedPageBreak/>
              <w:t>11.5.2</w:t>
            </w:r>
          </w:p>
          <w:p w:rsidR="006F0416" w:rsidRDefault="006F0416" w:rsidP="002E03C3">
            <w:pPr>
              <w:rPr>
                <w:b/>
                <w:bCs/>
              </w:rPr>
            </w:pPr>
            <w:r>
              <w:rPr>
                <w:b/>
                <w:bCs/>
              </w:rPr>
              <w:t>(nytt andre avsnitt)</w:t>
            </w:r>
          </w:p>
        </w:tc>
        <w:tc>
          <w:tcPr>
            <w:tcW w:w="6115" w:type="dxa"/>
          </w:tcPr>
          <w:p w:rsidR="00C974A0" w:rsidRDefault="00C974A0" w:rsidP="0051510E">
            <w:pPr>
              <w:rPr>
                <w:b/>
              </w:rPr>
            </w:pPr>
            <w:r>
              <w:rPr>
                <w:b/>
              </w:rPr>
              <w:t xml:space="preserve">Dagbot ved forsinkelse </w:t>
            </w:r>
          </w:p>
          <w:p w:rsidR="006F0416" w:rsidRDefault="006F0416" w:rsidP="006F0416">
            <w:r>
              <w:t xml:space="preserve">Blir ikke avtalt tidspunkt for installasjonsdag, oppstart godkjenningsperiode, leveringsdag eller annen frist som partene i bilag 4 har knyttet dagbøter til, overholdt, og det ikke skyldes force majeure eller Kundens forhold, foreligger en forsinkelse fra Leverandørens side som gir grunnlag for dagbot.  </w:t>
            </w:r>
          </w:p>
          <w:p w:rsidR="00C974A0" w:rsidRDefault="006F0416" w:rsidP="006F0416">
            <w:pPr>
              <w:rPr>
                <w:i/>
              </w:rPr>
            </w:pPr>
            <w:r w:rsidRPr="006F0416">
              <w:rPr>
                <w:i/>
              </w:rPr>
              <w:t xml:space="preserve">Dersom Leverandøren er forsinket til installasjonsdag eller senere </w:t>
            </w:r>
            <w:r w:rsidRPr="006F0416">
              <w:rPr>
                <w:i/>
              </w:rPr>
              <w:lastRenderedPageBreak/>
              <w:t>milepæler som partene har knyttet dagbøter til, så forskyves de senere frister tilsvarende det antall kalenderdager dagboten har løpt.</w:t>
            </w:r>
          </w:p>
          <w:p w:rsidR="006F0416" w:rsidRPr="006F0416" w:rsidRDefault="006F0416" w:rsidP="006F0416">
            <w:pPr>
              <w:rPr>
                <w:b/>
                <w:i/>
              </w:rPr>
            </w:pPr>
            <w:r>
              <w:t>Dagboten påløper automatisk. Dagboten utgjør 0,15 prosent av samlet vederlag for leveransen (kontraktssummen) ekskl. merverdiavgift for hver kalenderdag forsinkelsen varer, men begrenset til maksimalt 100 (hundre) kalenderdager.</w:t>
            </w:r>
          </w:p>
        </w:tc>
      </w:tr>
      <w:tr w:rsidR="002B71FE" w:rsidRPr="002E03C3" w:rsidTr="002B71FE">
        <w:tc>
          <w:tcPr>
            <w:tcW w:w="834" w:type="dxa"/>
          </w:tcPr>
          <w:p w:rsidR="002B71FE" w:rsidRPr="002E03C3" w:rsidRDefault="0051510E" w:rsidP="002E03C3">
            <w:pPr>
              <w:rPr>
                <w:b/>
                <w:bCs/>
              </w:rPr>
            </w:pPr>
            <w:r>
              <w:rPr>
                <w:b/>
                <w:bCs/>
              </w:rPr>
              <w:lastRenderedPageBreak/>
              <w:t>11.</w:t>
            </w:r>
            <w:r w:rsidR="002B71FE" w:rsidRPr="002E03C3">
              <w:rPr>
                <w:b/>
                <w:bCs/>
              </w:rPr>
              <w:t>5</w:t>
            </w:r>
            <w:r>
              <w:rPr>
                <w:b/>
                <w:bCs/>
              </w:rPr>
              <w:t>.5</w:t>
            </w:r>
          </w:p>
        </w:tc>
        <w:tc>
          <w:tcPr>
            <w:tcW w:w="6359" w:type="dxa"/>
          </w:tcPr>
          <w:p w:rsidR="002B71FE" w:rsidRDefault="0051510E" w:rsidP="002E03C3">
            <w:pPr>
              <w:rPr>
                <w:b/>
                <w:bCs/>
              </w:rPr>
            </w:pPr>
            <w:r>
              <w:rPr>
                <w:b/>
                <w:bCs/>
              </w:rPr>
              <w:t>Erstatning</w:t>
            </w:r>
          </w:p>
          <w:p w:rsidR="0051510E" w:rsidRDefault="0051510E" w:rsidP="0051510E">
            <w:r>
              <w:t>Kunden kan kreve erstattet ethvert direkte tap, herunder tap som skyldes merarbeid og andre direkte kostnader i forbindelse med forsinket driftsstart eller driftsavbrudd, som med rimelighet kan tilbakeføres til forsinkelse, mangel eller annet mislighold fra Leverandørens side, med mindre Leverandøren godtgjør at misligholdet eller årsaken til misligholdet ikke skyldes Leverandøren.</w:t>
            </w:r>
          </w:p>
          <w:p w:rsidR="0051510E" w:rsidRPr="002E03C3" w:rsidRDefault="0051510E" w:rsidP="0051510E">
            <w:r>
              <w:t>Dagbøter kommer til fradrag i eventuell erstatning for samme forsinkelse.</w:t>
            </w:r>
          </w:p>
        </w:tc>
        <w:tc>
          <w:tcPr>
            <w:tcW w:w="834" w:type="dxa"/>
          </w:tcPr>
          <w:p w:rsidR="002B71FE" w:rsidRPr="002E03C3" w:rsidRDefault="0051510E" w:rsidP="002E03C3">
            <w:pPr>
              <w:rPr>
                <w:b/>
                <w:bCs/>
              </w:rPr>
            </w:pPr>
            <w:r>
              <w:rPr>
                <w:b/>
                <w:bCs/>
              </w:rPr>
              <w:t>11.5.5</w:t>
            </w:r>
          </w:p>
        </w:tc>
        <w:tc>
          <w:tcPr>
            <w:tcW w:w="6115" w:type="dxa"/>
          </w:tcPr>
          <w:p w:rsidR="0051510E" w:rsidRDefault="0051510E" w:rsidP="0051510E">
            <w:pPr>
              <w:rPr>
                <w:b/>
                <w:bCs/>
              </w:rPr>
            </w:pPr>
            <w:r>
              <w:rPr>
                <w:b/>
                <w:bCs/>
              </w:rPr>
              <w:t>Erstatning</w:t>
            </w:r>
          </w:p>
          <w:p w:rsidR="0051510E" w:rsidRDefault="0051510E" w:rsidP="0051510E">
            <w:r>
              <w:t>Kunden kan kreve erstattet eth</w:t>
            </w:r>
            <w:bookmarkStart w:id="2" w:name="_GoBack"/>
            <w:bookmarkEnd w:id="2"/>
            <w:r>
              <w:t>vert direkte tap, herunder tap</w:t>
            </w:r>
            <w:r w:rsidRPr="0051510E">
              <w:rPr>
                <w:i/>
              </w:rPr>
              <w:t xml:space="preserve"> av data så fremt datahåndtering er Leverandørens ansvar under avtalen</w:t>
            </w:r>
            <w:r>
              <w:rPr>
                <w:i/>
              </w:rPr>
              <w:t xml:space="preserve">, </w:t>
            </w:r>
            <w:r>
              <w:t xml:space="preserve">som </w:t>
            </w:r>
            <w:r w:rsidRPr="0051510E">
              <w:rPr>
                <w:i/>
              </w:rPr>
              <w:t>følger av</w:t>
            </w:r>
            <w:r>
              <w:rPr>
                <w:i/>
              </w:rPr>
              <w:t xml:space="preserve"> </w:t>
            </w:r>
            <w:r>
              <w:t xml:space="preserve">forsinkelse, mangel eller annet mislighold </w:t>
            </w:r>
            <w:r w:rsidRPr="0051510E">
              <w:rPr>
                <w:i/>
              </w:rPr>
              <w:t>iht. punkt 11.1</w:t>
            </w:r>
            <w:r>
              <w:t>, med mindre Leverandøren godtgjør at misligholdet eller årsaken til misligholdet ikke skyldes Leverandøren.</w:t>
            </w:r>
          </w:p>
          <w:p w:rsidR="002B71FE" w:rsidRPr="002E03C3" w:rsidRDefault="0051510E" w:rsidP="004A14E8">
            <w:pPr>
              <w:rPr>
                <w:i/>
                <w:iCs/>
              </w:rPr>
            </w:pPr>
            <w:r w:rsidRPr="00E11F93">
              <w:t>Dagbøter kommer til fradrag i eventuell erstatning for samme forsinkelse.</w:t>
            </w:r>
          </w:p>
        </w:tc>
      </w:tr>
      <w:tr w:rsidR="002B71FE" w:rsidRPr="002E03C3" w:rsidTr="002B71FE">
        <w:tc>
          <w:tcPr>
            <w:tcW w:w="834" w:type="dxa"/>
          </w:tcPr>
          <w:p w:rsidR="002B71FE" w:rsidRPr="002E03C3" w:rsidRDefault="004A14E8" w:rsidP="002E03C3">
            <w:pPr>
              <w:rPr>
                <w:b/>
                <w:bCs/>
              </w:rPr>
            </w:pPr>
            <w:r>
              <w:rPr>
                <w:b/>
                <w:bCs/>
              </w:rPr>
              <w:t>11.5.6</w:t>
            </w:r>
          </w:p>
        </w:tc>
        <w:tc>
          <w:tcPr>
            <w:tcW w:w="6359" w:type="dxa"/>
          </w:tcPr>
          <w:p w:rsidR="004A14E8" w:rsidRPr="004A14E8" w:rsidRDefault="004A14E8" w:rsidP="004A14E8">
            <w:pPr>
              <w:rPr>
                <w:b/>
                <w:bCs/>
              </w:rPr>
            </w:pPr>
            <w:r w:rsidRPr="004A14E8">
              <w:rPr>
                <w:b/>
                <w:bCs/>
              </w:rPr>
              <w:t>Erstatningsbegrensning</w:t>
            </w:r>
          </w:p>
          <w:p w:rsidR="004A14E8" w:rsidRPr="004A14E8" w:rsidRDefault="004A14E8" w:rsidP="004A14E8">
            <w:pPr>
              <w:rPr>
                <w:bCs/>
              </w:rPr>
            </w:pPr>
            <w:r w:rsidRPr="004A14E8">
              <w:rPr>
                <w:bCs/>
              </w:rPr>
              <w:t xml:space="preserve">Erstatning for indirekte tap kan ikke kreves. Tap av data anses som indirekte tap, bortsett fra hvor dette skyldes datahåndtering som er Leverandørens ansvar under avtalen. </w:t>
            </w:r>
          </w:p>
          <w:p w:rsidR="004A14E8" w:rsidRPr="004A14E8" w:rsidRDefault="004A14E8" w:rsidP="004A14E8">
            <w:pPr>
              <w:rPr>
                <w:bCs/>
              </w:rPr>
            </w:pPr>
            <w:r w:rsidRPr="004A14E8">
              <w:rPr>
                <w:bCs/>
              </w:rPr>
              <w:t>Samlet erstatning i avtaleperioden er begrenset til et beløp som tilsvarer kontraktssummen eksklusiv merverdiavgift.</w:t>
            </w:r>
          </w:p>
          <w:p w:rsidR="002B71FE" w:rsidRPr="002E03C3" w:rsidRDefault="004A14E8" w:rsidP="004A14E8">
            <w:r w:rsidRPr="004A14E8">
              <w:rPr>
                <w:bCs/>
              </w:rPr>
              <w:t xml:space="preserve">Har Leverandøren eller noen denne svarer for utvist grov uaktsomhet </w:t>
            </w:r>
            <w:r w:rsidRPr="004A14E8">
              <w:rPr>
                <w:bCs/>
              </w:rPr>
              <w:lastRenderedPageBreak/>
              <w:t>eller forsett, gjelder ikke de nevnte erstatningsbegrensningene.</w:t>
            </w:r>
          </w:p>
        </w:tc>
        <w:tc>
          <w:tcPr>
            <w:tcW w:w="834" w:type="dxa"/>
          </w:tcPr>
          <w:p w:rsidR="002B71FE" w:rsidRPr="002E03C3" w:rsidRDefault="004A14E8" w:rsidP="002E03C3">
            <w:pPr>
              <w:rPr>
                <w:b/>
                <w:bCs/>
              </w:rPr>
            </w:pPr>
            <w:r>
              <w:rPr>
                <w:b/>
                <w:bCs/>
              </w:rPr>
              <w:lastRenderedPageBreak/>
              <w:t>11.5.6</w:t>
            </w:r>
          </w:p>
        </w:tc>
        <w:tc>
          <w:tcPr>
            <w:tcW w:w="6115" w:type="dxa"/>
          </w:tcPr>
          <w:p w:rsidR="004A14E8" w:rsidRPr="004A14E8" w:rsidRDefault="004A14E8" w:rsidP="004A14E8">
            <w:pPr>
              <w:rPr>
                <w:b/>
                <w:bCs/>
              </w:rPr>
            </w:pPr>
            <w:r w:rsidRPr="004A14E8">
              <w:rPr>
                <w:b/>
                <w:bCs/>
              </w:rPr>
              <w:t>Erstatningsbegrensning</w:t>
            </w:r>
          </w:p>
          <w:p w:rsidR="004A14E8" w:rsidRPr="004A14E8" w:rsidRDefault="004A14E8" w:rsidP="004A14E8">
            <w:pPr>
              <w:rPr>
                <w:i/>
              </w:rPr>
            </w:pPr>
            <w:r>
              <w:t xml:space="preserve">Erstatning for indirekte tap kan ikke kreves. </w:t>
            </w:r>
            <w:r w:rsidRPr="004A14E8">
              <w:rPr>
                <w:i/>
              </w:rPr>
              <w:t>Som indirekte tap regnes tap som nevnt i kjøpslovens § 67 andre ledd.</w:t>
            </w:r>
          </w:p>
          <w:p w:rsidR="004A14E8" w:rsidRDefault="004A14E8" w:rsidP="004A14E8">
            <w:r w:rsidRPr="004A14E8">
              <w:rPr>
                <w:i/>
              </w:rPr>
              <w:t>Erstatningsbegrensningene foran i denne bestemmelsen gjelder ikke kostnader ved vanlige tiltak som kompenserer at Leveransen er forsinket eller har mangler, og kostnader ved tiltak som begrenser annet tap enn nevnt over.</w:t>
            </w:r>
          </w:p>
          <w:p w:rsidR="004A14E8" w:rsidRPr="00E11F93" w:rsidRDefault="004A14E8" w:rsidP="004A14E8">
            <w:r w:rsidRPr="00E11F93">
              <w:t xml:space="preserve">Samlet erstatning i avtaleperioden er begrenset til et beløp som </w:t>
            </w:r>
            <w:r w:rsidRPr="00E11F93">
              <w:lastRenderedPageBreak/>
              <w:t>tilsvarer kontraktssummen eksklusiv merverdiavgift.</w:t>
            </w:r>
          </w:p>
          <w:p w:rsidR="002B71FE" w:rsidRPr="002E03C3" w:rsidRDefault="004A14E8" w:rsidP="004A14E8">
            <w:pPr>
              <w:rPr>
                <w:i/>
                <w:iCs/>
              </w:rPr>
            </w:pPr>
            <w:r w:rsidRPr="00E11F93">
              <w:t>Har Leverandøren eller noen denne svarer for utvist grov uaktsomhet eller forsett, gjelder ikke de nevnte erstatningsbegrensningene.</w:t>
            </w:r>
          </w:p>
        </w:tc>
      </w:tr>
      <w:tr w:rsidR="002B71FE" w:rsidRPr="002E03C3" w:rsidTr="002B71FE">
        <w:tc>
          <w:tcPr>
            <w:tcW w:w="834" w:type="dxa"/>
          </w:tcPr>
          <w:p w:rsidR="002B71FE" w:rsidRPr="002E03C3" w:rsidRDefault="00D05265" w:rsidP="002E03C3">
            <w:pPr>
              <w:rPr>
                <w:b/>
                <w:bCs/>
              </w:rPr>
            </w:pPr>
            <w:r>
              <w:rPr>
                <w:b/>
                <w:bCs/>
              </w:rPr>
              <w:lastRenderedPageBreak/>
              <w:t xml:space="preserve">12.5 </w:t>
            </w:r>
          </w:p>
        </w:tc>
        <w:tc>
          <w:tcPr>
            <w:tcW w:w="6359" w:type="dxa"/>
          </w:tcPr>
          <w:p w:rsidR="00D05265" w:rsidRPr="00D05265" w:rsidRDefault="00D05265" w:rsidP="00D05265">
            <w:pPr>
              <w:rPr>
                <w:b/>
              </w:rPr>
            </w:pPr>
            <w:r w:rsidRPr="00D05265">
              <w:rPr>
                <w:b/>
              </w:rPr>
              <w:t xml:space="preserve">Erstatning </w:t>
            </w:r>
          </w:p>
          <w:p w:rsidR="00D05265" w:rsidRDefault="00D05265" w:rsidP="00D05265">
            <w:r>
              <w:t>Leverandøren kan kreve erstattet ethvert direkte tap som med rimelighet kan tilbakeføres til misligholdet, med mindre Kunden godtgjør at misligholdet eller årsaken til misligholdet ikke skyldes Kunden.</w:t>
            </w:r>
          </w:p>
          <w:p w:rsidR="002B71FE" w:rsidRPr="002E03C3" w:rsidRDefault="00D05265" w:rsidP="00D05265">
            <w:r>
              <w:t>Avtalens bestemmelse om erstatningsbegrensning i punkt 11.5.6, gjelder tilsvarende.</w:t>
            </w:r>
          </w:p>
        </w:tc>
        <w:tc>
          <w:tcPr>
            <w:tcW w:w="834" w:type="dxa"/>
          </w:tcPr>
          <w:p w:rsidR="002B71FE" w:rsidRPr="002E03C3" w:rsidRDefault="00D05265" w:rsidP="002E03C3">
            <w:pPr>
              <w:rPr>
                <w:b/>
                <w:bCs/>
              </w:rPr>
            </w:pPr>
            <w:r>
              <w:rPr>
                <w:b/>
                <w:bCs/>
              </w:rPr>
              <w:t>12.5</w:t>
            </w:r>
          </w:p>
        </w:tc>
        <w:tc>
          <w:tcPr>
            <w:tcW w:w="6115" w:type="dxa"/>
          </w:tcPr>
          <w:p w:rsidR="00D05265" w:rsidRPr="00D05265" w:rsidRDefault="00D05265" w:rsidP="002E03C3">
            <w:pPr>
              <w:rPr>
                <w:b/>
              </w:rPr>
            </w:pPr>
            <w:r w:rsidRPr="00D05265">
              <w:rPr>
                <w:b/>
              </w:rPr>
              <w:t xml:space="preserve">Erstatning </w:t>
            </w:r>
          </w:p>
          <w:p w:rsidR="002B71FE" w:rsidRDefault="00D05265" w:rsidP="002E03C3">
            <w:r>
              <w:t xml:space="preserve">Leverandøren kan kreve erstattet ethvert direkte tap som </w:t>
            </w:r>
            <w:r w:rsidRPr="00D05265">
              <w:rPr>
                <w:i/>
              </w:rPr>
              <w:t>følger av</w:t>
            </w:r>
            <w:r>
              <w:t xml:space="preserve"> </w:t>
            </w:r>
            <w:r w:rsidRPr="00D05265">
              <w:rPr>
                <w:i/>
              </w:rPr>
              <w:t>mislighold iht. punkt 12.1</w:t>
            </w:r>
            <w:r>
              <w:t>, med mindre Kunden godtgjør at misligholdet eller årsaken til misligholdet ikke skyldes Kunden.</w:t>
            </w:r>
          </w:p>
          <w:p w:rsidR="00D05265" w:rsidRPr="002E03C3" w:rsidRDefault="00D05265" w:rsidP="00D05265">
            <w:r>
              <w:t>Avtalens bestemmelse om erstatningsbegrensning i punkt 11.5.6, gjelder tilsvarende.</w:t>
            </w:r>
          </w:p>
        </w:tc>
      </w:tr>
      <w:tr w:rsidR="00CC4FD2" w:rsidRPr="002E03C3" w:rsidTr="002B71FE">
        <w:tc>
          <w:tcPr>
            <w:tcW w:w="834" w:type="dxa"/>
          </w:tcPr>
          <w:p w:rsidR="00CC4FD2" w:rsidRDefault="00CC4FD2" w:rsidP="002E03C3">
            <w:pPr>
              <w:rPr>
                <w:b/>
                <w:bCs/>
              </w:rPr>
            </w:pPr>
            <w:r>
              <w:rPr>
                <w:b/>
                <w:bCs/>
              </w:rPr>
              <w:t>15.3</w:t>
            </w:r>
          </w:p>
          <w:p w:rsidR="00CC4FD2" w:rsidRDefault="00CC4FD2" w:rsidP="002E03C3">
            <w:pPr>
              <w:rPr>
                <w:b/>
                <w:bCs/>
              </w:rPr>
            </w:pPr>
            <w:r>
              <w:rPr>
                <w:b/>
                <w:bCs/>
              </w:rPr>
              <w:t>(tredje avsnitt)</w:t>
            </w:r>
          </w:p>
        </w:tc>
        <w:tc>
          <w:tcPr>
            <w:tcW w:w="6359" w:type="dxa"/>
          </w:tcPr>
          <w:p w:rsidR="00CC4FD2" w:rsidRPr="00CC4FD2" w:rsidRDefault="00CC4FD2" w:rsidP="00CC4FD2">
            <w:pPr>
              <w:tabs>
                <w:tab w:val="num" w:pos="907"/>
              </w:tabs>
              <w:rPr>
                <w:b/>
                <w:bCs/>
              </w:rPr>
            </w:pPr>
            <w:bookmarkStart w:id="3" w:name="_Toc328659298"/>
            <w:r w:rsidRPr="00CC4FD2">
              <w:rPr>
                <w:b/>
                <w:bCs/>
              </w:rPr>
              <w:t>Overdragelse av rettigheter og plikter</w:t>
            </w:r>
            <w:bookmarkEnd w:id="3"/>
          </w:p>
          <w:p w:rsidR="00CC4FD2" w:rsidRPr="00D05265" w:rsidRDefault="00CC4FD2" w:rsidP="00CC4FD2">
            <w:pPr>
              <w:rPr>
                <w:b/>
              </w:rPr>
            </w:pPr>
            <w:r>
              <w:t>Retten til vederlag etter denne avtalen kan fritt overdras. Slik overdragelse fritar ikke vedkommende part fra hans forpliktelse og ansvar.</w:t>
            </w:r>
          </w:p>
        </w:tc>
        <w:tc>
          <w:tcPr>
            <w:tcW w:w="834" w:type="dxa"/>
          </w:tcPr>
          <w:p w:rsidR="00CC4FD2" w:rsidRDefault="00CC4FD2" w:rsidP="002E03C3">
            <w:pPr>
              <w:rPr>
                <w:b/>
                <w:bCs/>
              </w:rPr>
            </w:pPr>
            <w:r>
              <w:rPr>
                <w:b/>
                <w:bCs/>
              </w:rPr>
              <w:t>15.3 (nytt tredje avsnitt)</w:t>
            </w:r>
          </w:p>
        </w:tc>
        <w:tc>
          <w:tcPr>
            <w:tcW w:w="6115" w:type="dxa"/>
          </w:tcPr>
          <w:p w:rsidR="00CC4FD2" w:rsidRPr="00CC4FD2" w:rsidRDefault="00CC4FD2" w:rsidP="00CC4FD2">
            <w:pPr>
              <w:tabs>
                <w:tab w:val="num" w:pos="907"/>
              </w:tabs>
              <w:rPr>
                <w:b/>
                <w:bCs/>
              </w:rPr>
            </w:pPr>
            <w:r w:rsidRPr="00CC4FD2">
              <w:rPr>
                <w:b/>
                <w:bCs/>
              </w:rPr>
              <w:t>Overdragelse av rettigheter og plikter</w:t>
            </w:r>
          </w:p>
          <w:p w:rsidR="008C74EA" w:rsidRPr="008C74EA" w:rsidRDefault="008C74EA" w:rsidP="00CC4FD2">
            <w:pPr>
              <w:rPr>
                <w:i/>
              </w:rPr>
            </w:pPr>
            <w:r w:rsidRPr="008C74EA">
              <w:rPr>
                <w:i/>
              </w:rPr>
              <w:t>Dersom anskaffelsen er underlagt regelverket for offentlige anskaffelser, gjelder bestemmelsen kun i den grad Kunden finner dette i tråd med anskaffelsesregelverket.</w:t>
            </w:r>
          </w:p>
          <w:p w:rsidR="00CC4FD2" w:rsidRPr="00D05265" w:rsidRDefault="00CC4FD2" w:rsidP="00CC4FD2">
            <w:pPr>
              <w:rPr>
                <w:b/>
              </w:rPr>
            </w:pPr>
            <w:r>
              <w:t>Retten til vederlag etter denne avtalen kan fritt overdras. Slik overdragelse fritar ikke vedkommende part fra hans forpliktelse og ansvar.</w:t>
            </w:r>
          </w:p>
        </w:tc>
      </w:tr>
      <w:tr w:rsidR="008C74EA" w:rsidRPr="002E03C3" w:rsidTr="002B71FE">
        <w:tc>
          <w:tcPr>
            <w:tcW w:w="834" w:type="dxa"/>
          </w:tcPr>
          <w:p w:rsidR="008C74EA" w:rsidRDefault="008C74EA" w:rsidP="002E03C3">
            <w:pPr>
              <w:rPr>
                <w:b/>
                <w:bCs/>
              </w:rPr>
            </w:pPr>
            <w:r>
              <w:rPr>
                <w:b/>
                <w:bCs/>
              </w:rPr>
              <w:t>15.4</w:t>
            </w:r>
          </w:p>
        </w:tc>
        <w:tc>
          <w:tcPr>
            <w:tcW w:w="6359" w:type="dxa"/>
          </w:tcPr>
          <w:p w:rsidR="008C74EA" w:rsidRPr="008C74EA" w:rsidRDefault="008C74EA" w:rsidP="008C74EA">
            <w:pPr>
              <w:tabs>
                <w:tab w:val="num" w:pos="907"/>
              </w:tabs>
              <w:rPr>
                <w:b/>
                <w:bCs/>
              </w:rPr>
            </w:pPr>
            <w:bookmarkStart w:id="4" w:name="_Toc328659299"/>
            <w:r w:rsidRPr="008C74EA">
              <w:rPr>
                <w:b/>
                <w:bCs/>
              </w:rPr>
              <w:t>Konkurs, akkord e.l.</w:t>
            </w:r>
            <w:bookmarkEnd w:id="4"/>
          </w:p>
          <w:p w:rsidR="008C74EA" w:rsidRPr="008C74EA" w:rsidRDefault="008C74EA" w:rsidP="008C74EA">
            <w:pPr>
              <w:tabs>
                <w:tab w:val="num" w:pos="907"/>
              </w:tabs>
              <w:rPr>
                <w:bCs/>
              </w:rPr>
            </w:pPr>
            <w:r w:rsidRPr="008C74EA">
              <w:rPr>
                <w:bCs/>
              </w:rPr>
              <w:t xml:space="preserve">Hvis det i forbindelse med Leverandørens virksomhet åpnes gjeldsforhandlinger, akkord eller konkurs, eller annen form for kreditorstyring gjør seg gjeldende, har Kunden rett til å heve avtalen </w:t>
            </w:r>
            <w:r w:rsidRPr="008C74EA">
              <w:rPr>
                <w:bCs/>
              </w:rPr>
              <w:lastRenderedPageBreak/>
              <w:t>med øyeblikkelig virkning.</w:t>
            </w:r>
          </w:p>
        </w:tc>
        <w:tc>
          <w:tcPr>
            <w:tcW w:w="834" w:type="dxa"/>
          </w:tcPr>
          <w:p w:rsidR="008C74EA" w:rsidRDefault="008C74EA" w:rsidP="002D7A9F">
            <w:pPr>
              <w:rPr>
                <w:b/>
                <w:bCs/>
              </w:rPr>
            </w:pPr>
            <w:r>
              <w:rPr>
                <w:b/>
                <w:bCs/>
              </w:rPr>
              <w:lastRenderedPageBreak/>
              <w:t>15.4</w:t>
            </w:r>
          </w:p>
        </w:tc>
        <w:tc>
          <w:tcPr>
            <w:tcW w:w="6115" w:type="dxa"/>
          </w:tcPr>
          <w:p w:rsidR="008C74EA" w:rsidRPr="008C74EA" w:rsidRDefault="008C74EA" w:rsidP="002D7A9F">
            <w:pPr>
              <w:tabs>
                <w:tab w:val="num" w:pos="907"/>
              </w:tabs>
              <w:rPr>
                <w:b/>
                <w:bCs/>
              </w:rPr>
            </w:pPr>
            <w:r w:rsidRPr="008C74EA">
              <w:rPr>
                <w:b/>
                <w:bCs/>
              </w:rPr>
              <w:t>Konkurs, akkord e.l.</w:t>
            </w:r>
          </w:p>
          <w:p w:rsidR="008C74EA" w:rsidRPr="008C74EA" w:rsidRDefault="008C74EA" w:rsidP="002D7A9F">
            <w:pPr>
              <w:tabs>
                <w:tab w:val="num" w:pos="907"/>
              </w:tabs>
              <w:rPr>
                <w:bCs/>
              </w:rPr>
            </w:pPr>
            <w:r w:rsidRPr="008C74EA">
              <w:rPr>
                <w:bCs/>
              </w:rPr>
              <w:t>Hvis det i forbindelse med Leverandørens virksomhet åpnes gjeldsforhandlinger, akkord eller konkurs, eller annen form for kreditorstyring gjør seg gjeldende, har Kunden rett til å heve avtalen med øyeblikkelig virkning</w:t>
            </w:r>
            <w:r>
              <w:rPr>
                <w:bCs/>
              </w:rPr>
              <w:t>,</w:t>
            </w:r>
            <w:r w:rsidRPr="008C74EA">
              <w:rPr>
                <w:i/>
              </w:rPr>
              <w:t xml:space="preserve"> så fremt ikke annet følger av </w:t>
            </w:r>
            <w:r w:rsidRPr="008C74EA">
              <w:rPr>
                <w:i/>
              </w:rPr>
              <w:lastRenderedPageBreak/>
              <w:t>ufravikelig lov</w:t>
            </w:r>
            <w:r w:rsidRPr="008C74EA">
              <w:rPr>
                <w:bCs/>
              </w:rPr>
              <w:t>.</w:t>
            </w:r>
          </w:p>
        </w:tc>
      </w:tr>
    </w:tbl>
    <w:p w:rsidR="00356161" w:rsidRDefault="00356161"/>
    <w:sectPr w:rsidR="00356161">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BCB" w:rsidRDefault="00666BCB" w:rsidP="002A4AC5">
      <w:pPr>
        <w:spacing w:after="0" w:line="240" w:lineRule="auto"/>
      </w:pPr>
      <w:r>
        <w:separator/>
      </w:r>
    </w:p>
  </w:endnote>
  <w:endnote w:type="continuationSeparator" w:id="0">
    <w:p w:rsidR="00666BCB" w:rsidRDefault="00666BCB" w:rsidP="002A4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BCB" w:rsidRDefault="00666BCB" w:rsidP="00666BCB">
    <w:pPr>
      <w:pStyle w:val="Bunntekst"/>
    </w:pPr>
    <w:r>
      <w:rPr>
        <w:sz w:val="20"/>
      </w:rPr>
      <w:t>SSA-K Endringstabell 2009-2013</w:t>
    </w:r>
    <w:r>
      <w:rPr>
        <w:sz w:val="20"/>
      </w:rPr>
      <w:tab/>
    </w:r>
    <w:r>
      <w:rPr>
        <w:sz w:val="20"/>
      </w:rPr>
      <w:tab/>
    </w:r>
    <w:r>
      <w:rPr>
        <w:sz w:val="20"/>
      </w:rPr>
      <w:tab/>
    </w:r>
    <w:r>
      <w:rPr>
        <w:sz w:val="20"/>
      </w:rPr>
      <w:tab/>
    </w:r>
    <w:r>
      <w:rPr>
        <w:sz w:val="20"/>
      </w:rPr>
      <w:tab/>
    </w:r>
    <w:r>
      <w:t xml:space="preserve"> </w:t>
    </w:r>
    <w:r>
      <w:tab/>
    </w:r>
    <w:r>
      <w:tab/>
    </w:r>
    <w:r>
      <w:tab/>
    </w:r>
    <w:sdt>
      <w:sdtPr>
        <w:id w:val="61532291"/>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Side </w:t>
            </w:r>
            <w:r>
              <w:rPr>
                <w:b/>
                <w:bCs/>
                <w:sz w:val="24"/>
              </w:rPr>
              <w:fldChar w:fldCharType="begin"/>
            </w:r>
            <w:r>
              <w:rPr>
                <w:b/>
                <w:bCs/>
              </w:rPr>
              <w:instrText>PAGE</w:instrText>
            </w:r>
            <w:r>
              <w:rPr>
                <w:b/>
                <w:bCs/>
                <w:sz w:val="24"/>
              </w:rPr>
              <w:fldChar w:fldCharType="separate"/>
            </w:r>
            <w:r w:rsidR="00037AD2">
              <w:rPr>
                <w:b/>
                <w:bCs/>
                <w:noProof/>
              </w:rPr>
              <w:t>3</w:t>
            </w:r>
            <w:r>
              <w:rPr>
                <w:b/>
                <w:bCs/>
                <w:sz w:val="24"/>
              </w:rPr>
              <w:fldChar w:fldCharType="end"/>
            </w:r>
            <w:r>
              <w:t xml:space="preserve"> av </w:t>
            </w:r>
            <w:r>
              <w:rPr>
                <w:b/>
                <w:bCs/>
                <w:sz w:val="24"/>
              </w:rPr>
              <w:fldChar w:fldCharType="begin"/>
            </w:r>
            <w:r>
              <w:rPr>
                <w:b/>
                <w:bCs/>
              </w:rPr>
              <w:instrText>NUMPAGES</w:instrText>
            </w:r>
            <w:r>
              <w:rPr>
                <w:b/>
                <w:bCs/>
                <w:sz w:val="24"/>
              </w:rPr>
              <w:fldChar w:fldCharType="separate"/>
            </w:r>
            <w:r w:rsidR="00037AD2">
              <w:rPr>
                <w:b/>
                <w:bCs/>
                <w:noProof/>
              </w:rPr>
              <w:t>5</w:t>
            </w:r>
            <w:r>
              <w:rPr>
                <w:b/>
                <w:bCs/>
                <w:sz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BCB" w:rsidRDefault="00666BCB" w:rsidP="002A4AC5">
      <w:pPr>
        <w:spacing w:after="0" w:line="240" w:lineRule="auto"/>
      </w:pPr>
      <w:r>
        <w:separator/>
      </w:r>
    </w:p>
  </w:footnote>
  <w:footnote w:type="continuationSeparator" w:id="0">
    <w:p w:rsidR="00666BCB" w:rsidRDefault="00666BCB" w:rsidP="002A4A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CC875E6"/>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
    <w:nsid w:val="00000004"/>
    <w:multiLevelType w:val="singleLevel"/>
    <w:tmpl w:val="00000004"/>
    <w:name w:val="WW8Num17"/>
    <w:lvl w:ilvl="0">
      <w:start w:val="1"/>
      <w:numFmt w:val="bullet"/>
      <w:lvlText w:val="-"/>
      <w:lvlJc w:val="left"/>
      <w:pPr>
        <w:tabs>
          <w:tab w:val="num" w:pos="1069"/>
        </w:tabs>
        <w:ind w:left="1069" w:hanging="360"/>
      </w:pPr>
      <w:rPr>
        <w:rFonts w:ascii="OpenSymbol" w:hAnsi="OpenSymbol"/>
      </w:rPr>
    </w:lvl>
  </w:abstractNum>
  <w:abstractNum w:abstractNumId="2">
    <w:nsid w:val="00000006"/>
    <w:multiLevelType w:val="multilevel"/>
    <w:tmpl w:val="00000006"/>
    <w:name w:val="WW8Num20"/>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3">
    <w:nsid w:val="17F5402D"/>
    <w:multiLevelType w:val="hybridMultilevel"/>
    <w:tmpl w:val="8F728DA6"/>
    <w:lvl w:ilvl="0" w:tplc="A4B43FF0">
      <w:start w:val="3"/>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nsid w:val="1BCD38BA"/>
    <w:multiLevelType w:val="singleLevel"/>
    <w:tmpl w:val="0000000C"/>
    <w:lvl w:ilvl="0">
      <w:start w:val="1"/>
      <w:numFmt w:val="lowerLetter"/>
      <w:lvlText w:val="%1."/>
      <w:lvlJc w:val="left"/>
      <w:pPr>
        <w:tabs>
          <w:tab w:val="num" w:pos="1069"/>
        </w:tabs>
        <w:ind w:left="1069" w:hanging="360"/>
      </w:pPr>
      <w:rPr>
        <w:rFonts w:ascii="Times New Roman" w:hAnsi="Times New Roman" w:cs="Times New Roman"/>
      </w:rPr>
    </w:lvl>
  </w:abstractNum>
  <w:abstractNum w:abstractNumId="5">
    <w:nsid w:val="2144674D"/>
    <w:multiLevelType w:val="singleLevel"/>
    <w:tmpl w:val="FD5A3316"/>
    <w:lvl w:ilvl="0">
      <w:numFmt w:val="bullet"/>
      <w:lvlText w:val="-"/>
      <w:lvlJc w:val="left"/>
      <w:pPr>
        <w:tabs>
          <w:tab w:val="num" w:pos="1069"/>
        </w:tabs>
        <w:ind w:left="1069" w:hanging="360"/>
      </w:pPr>
      <w:rPr>
        <w:rFonts w:hint="default"/>
      </w:rPr>
    </w:lvl>
  </w:abstractNum>
  <w:abstractNum w:abstractNumId="6">
    <w:nsid w:val="249117E3"/>
    <w:multiLevelType w:val="hybridMultilevel"/>
    <w:tmpl w:val="064E42A8"/>
    <w:lvl w:ilvl="0" w:tplc="E8C43988">
      <w:start w:val="1"/>
      <w:numFmt w:val="lowerLetter"/>
      <w:lvlText w:val="%1."/>
      <w:lvlJc w:val="left"/>
      <w:pPr>
        <w:tabs>
          <w:tab w:val="num" w:pos="1069"/>
        </w:tabs>
        <w:ind w:left="1069" w:hanging="360"/>
      </w:pPr>
      <w:rPr>
        <w:rFonts w:hint="default"/>
      </w:rPr>
    </w:lvl>
    <w:lvl w:ilvl="1" w:tplc="04140019" w:tentative="1">
      <w:start w:val="1"/>
      <w:numFmt w:val="lowerLetter"/>
      <w:lvlText w:val="%2."/>
      <w:lvlJc w:val="left"/>
      <w:pPr>
        <w:tabs>
          <w:tab w:val="num" w:pos="1429"/>
        </w:tabs>
        <w:ind w:left="1429" w:hanging="360"/>
      </w:pPr>
    </w:lvl>
    <w:lvl w:ilvl="2" w:tplc="0414001B" w:tentative="1">
      <w:start w:val="1"/>
      <w:numFmt w:val="lowerRoman"/>
      <w:lvlText w:val="%3."/>
      <w:lvlJc w:val="right"/>
      <w:pPr>
        <w:tabs>
          <w:tab w:val="num" w:pos="2149"/>
        </w:tabs>
        <w:ind w:left="2149" w:hanging="180"/>
      </w:pPr>
    </w:lvl>
    <w:lvl w:ilvl="3" w:tplc="0414000F" w:tentative="1">
      <w:start w:val="1"/>
      <w:numFmt w:val="decimal"/>
      <w:lvlText w:val="%4."/>
      <w:lvlJc w:val="left"/>
      <w:pPr>
        <w:tabs>
          <w:tab w:val="num" w:pos="2869"/>
        </w:tabs>
        <w:ind w:left="2869" w:hanging="360"/>
      </w:pPr>
    </w:lvl>
    <w:lvl w:ilvl="4" w:tplc="04140019" w:tentative="1">
      <w:start w:val="1"/>
      <w:numFmt w:val="lowerLetter"/>
      <w:lvlText w:val="%5."/>
      <w:lvlJc w:val="left"/>
      <w:pPr>
        <w:tabs>
          <w:tab w:val="num" w:pos="3589"/>
        </w:tabs>
        <w:ind w:left="3589" w:hanging="360"/>
      </w:pPr>
    </w:lvl>
    <w:lvl w:ilvl="5" w:tplc="0414001B" w:tentative="1">
      <w:start w:val="1"/>
      <w:numFmt w:val="lowerRoman"/>
      <w:lvlText w:val="%6."/>
      <w:lvlJc w:val="right"/>
      <w:pPr>
        <w:tabs>
          <w:tab w:val="num" w:pos="4309"/>
        </w:tabs>
        <w:ind w:left="4309" w:hanging="180"/>
      </w:pPr>
    </w:lvl>
    <w:lvl w:ilvl="6" w:tplc="0414000F" w:tentative="1">
      <w:start w:val="1"/>
      <w:numFmt w:val="decimal"/>
      <w:lvlText w:val="%7."/>
      <w:lvlJc w:val="left"/>
      <w:pPr>
        <w:tabs>
          <w:tab w:val="num" w:pos="5029"/>
        </w:tabs>
        <w:ind w:left="5029" w:hanging="360"/>
      </w:pPr>
    </w:lvl>
    <w:lvl w:ilvl="7" w:tplc="04140019" w:tentative="1">
      <w:start w:val="1"/>
      <w:numFmt w:val="lowerLetter"/>
      <w:lvlText w:val="%8."/>
      <w:lvlJc w:val="left"/>
      <w:pPr>
        <w:tabs>
          <w:tab w:val="num" w:pos="5749"/>
        </w:tabs>
        <w:ind w:left="5749" w:hanging="360"/>
      </w:pPr>
    </w:lvl>
    <w:lvl w:ilvl="8" w:tplc="0414001B" w:tentative="1">
      <w:start w:val="1"/>
      <w:numFmt w:val="lowerRoman"/>
      <w:lvlText w:val="%9."/>
      <w:lvlJc w:val="right"/>
      <w:pPr>
        <w:tabs>
          <w:tab w:val="num" w:pos="6469"/>
        </w:tabs>
        <w:ind w:left="6469" w:hanging="180"/>
      </w:pPr>
    </w:lvl>
  </w:abstractNum>
  <w:abstractNum w:abstractNumId="7">
    <w:nsid w:val="2B8A7D0E"/>
    <w:multiLevelType w:val="hybridMultilevel"/>
    <w:tmpl w:val="60644F12"/>
    <w:lvl w:ilvl="0" w:tplc="7764CFD8">
      <w:start w:val="1"/>
      <w:numFmt w:val="decimal"/>
      <w:pStyle w:val="nummerertliste1"/>
      <w:lvlText w:val="%1."/>
      <w:lvlJc w:val="left"/>
      <w:pPr>
        <w:tabs>
          <w:tab w:val="num" w:pos="720"/>
        </w:tabs>
        <w:ind w:left="720" w:hanging="360"/>
      </w:pPr>
    </w:lvl>
    <w:lvl w:ilvl="1" w:tplc="E8C43988">
      <w:start w:val="1"/>
      <w:numFmt w:val="lowerLetter"/>
      <w:pStyle w:val="Bokstavliste2"/>
      <w:lvlText w:val="%2."/>
      <w:lvlJc w:val="left"/>
      <w:pPr>
        <w:tabs>
          <w:tab w:val="num" w:pos="1440"/>
        </w:tabs>
        <w:ind w:left="1440" w:hanging="360"/>
      </w:pPr>
      <w:rPr>
        <w:rFonts w:hint="default"/>
      </w:r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8">
    <w:nsid w:val="2EE12493"/>
    <w:multiLevelType w:val="hybridMultilevel"/>
    <w:tmpl w:val="0C162294"/>
    <w:lvl w:ilvl="0" w:tplc="04090017">
      <w:start w:val="1"/>
      <w:numFmt w:val="lowerLetter"/>
      <w:lvlText w:val="%1)"/>
      <w:lvlJc w:val="left"/>
      <w:pPr>
        <w:tabs>
          <w:tab w:val="num" w:pos="720"/>
        </w:tabs>
        <w:ind w:left="720" w:hanging="360"/>
      </w:pPr>
      <w:rPr>
        <w:rFonts w:ascii="Times New Roman" w:hAnsi="Times New Roman" w:cs="Times New Roman"/>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33947F35"/>
    <w:multiLevelType w:val="hybridMultilevel"/>
    <w:tmpl w:val="C4C8E26C"/>
    <w:lvl w:ilvl="0" w:tplc="E8C43988">
      <w:start w:val="1"/>
      <w:numFmt w:val="lowerLetter"/>
      <w:lvlText w:val="%1."/>
      <w:lvlJc w:val="left"/>
      <w:pPr>
        <w:tabs>
          <w:tab w:val="num" w:pos="1069"/>
        </w:tabs>
        <w:ind w:left="1069"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nsid w:val="35344370"/>
    <w:multiLevelType w:val="singleLevel"/>
    <w:tmpl w:val="E14E240A"/>
    <w:lvl w:ilvl="0">
      <w:start w:val="1"/>
      <w:numFmt w:val="lowerLetter"/>
      <w:lvlText w:val="%1)"/>
      <w:legacy w:legacy="1" w:legacySpace="0" w:legacyIndent="283"/>
      <w:lvlJc w:val="left"/>
      <w:pPr>
        <w:ind w:left="283" w:hanging="283"/>
      </w:pPr>
      <w:rPr>
        <w:rFonts w:ascii="Times New Roman" w:hAnsi="Times New Roman" w:cs="Times New Roman"/>
      </w:rPr>
    </w:lvl>
  </w:abstractNum>
  <w:abstractNum w:abstractNumId="11">
    <w:nsid w:val="37057E15"/>
    <w:multiLevelType w:val="hybridMultilevel"/>
    <w:tmpl w:val="72467B30"/>
    <w:lvl w:ilvl="0" w:tplc="E8C43988">
      <w:start w:val="1"/>
      <w:numFmt w:val="lowerLetter"/>
      <w:lvlText w:val="%1."/>
      <w:lvlJc w:val="left"/>
      <w:pPr>
        <w:tabs>
          <w:tab w:val="num" w:pos="1069"/>
        </w:tabs>
        <w:ind w:left="1069"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2">
    <w:nsid w:val="3D540960"/>
    <w:multiLevelType w:val="hybridMultilevel"/>
    <w:tmpl w:val="B3A095AE"/>
    <w:lvl w:ilvl="0" w:tplc="A4B43FF0">
      <w:start w:val="3"/>
      <w:numFmt w:val="bullet"/>
      <w:lvlText w:val="-"/>
      <w:lvlJc w:val="left"/>
      <w:pPr>
        <w:tabs>
          <w:tab w:val="num" w:pos="1080"/>
        </w:tabs>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3">
    <w:nsid w:val="3F611C9E"/>
    <w:multiLevelType w:val="hybridMultilevel"/>
    <w:tmpl w:val="21EE057E"/>
    <w:lvl w:ilvl="0" w:tplc="E8C43988">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091"/>
        </w:tabs>
        <w:ind w:left="1091" w:hanging="360"/>
      </w:pPr>
    </w:lvl>
    <w:lvl w:ilvl="2" w:tplc="0414001B" w:tentative="1">
      <w:start w:val="1"/>
      <w:numFmt w:val="lowerRoman"/>
      <w:lvlText w:val="%3."/>
      <w:lvlJc w:val="right"/>
      <w:pPr>
        <w:tabs>
          <w:tab w:val="num" w:pos="1811"/>
        </w:tabs>
        <w:ind w:left="1811" w:hanging="180"/>
      </w:pPr>
    </w:lvl>
    <w:lvl w:ilvl="3" w:tplc="0414000F" w:tentative="1">
      <w:start w:val="1"/>
      <w:numFmt w:val="decimal"/>
      <w:lvlText w:val="%4."/>
      <w:lvlJc w:val="left"/>
      <w:pPr>
        <w:tabs>
          <w:tab w:val="num" w:pos="2531"/>
        </w:tabs>
        <w:ind w:left="2531" w:hanging="360"/>
      </w:pPr>
    </w:lvl>
    <w:lvl w:ilvl="4" w:tplc="04140019" w:tentative="1">
      <w:start w:val="1"/>
      <w:numFmt w:val="lowerLetter"/>
      <w:lvlText w:val="%5."/>
      <w:lvlJc w:val="left"/>
      <w:pPr>
        <w:tabs>
          <w:tab w:val="num" w:pos="3251"/>
        </w:tabs>
        <w:ind w:left="3251" w:hanging="360"/>
      </w:pPr>
    </w:lvl>
    <w:lvl w:ilvl="5" w:tplc="0414001B" w:tentative="1">
      <w:start w:val="1"/>
      <w:numFmt w:val="lowerRoman"/>
      <w:lvlText w:val="%6."/>
      <w:lvlJc w:val="right"/>
      <w:pPr>
        <w:tabs>
          <w:tab w:val="num" w:pos="3971"/>
        </w:tabs>
        <w:ind w:left="3971" w:hanging="180"/>
      </w:pPr>
    </w:lvl>
    <w:lvl w:ilvl="6" w:tplc="0414000F" w:tentative="1">
      <w:start w:val="1"/>
      <w:numFmt w:val="decimal"/>
      <w:lvlText w:val="%7."/>
      <w:lvlJc w:val="left"/>
      <w:pPr>
        <w:tabs>
          <w:tab w:val="num" w:pos="4691"/>
        </w:tabs>
        <w:ind w:left="4691" w:hanging="360"/>
      </w:pPr>
    </w:lvl>
    <w:lvl w:ilvl="7" w:tplc="04140019" w:tentative="1">
      <w:start w:val="1"/>
      <w:numFmt w:val="lowerLetter"/>
      <w:lvlText w:val="%8."/>
      <w:lvlJc w:val="left"/>
      <w:pPr>
        <w:tabs>
          <w:tab w:val="num" w:pos="5411"/>
        </w:tabs>
        <w:ind w:left="5411" w:hanging="360"/>
      </w:pPr>
    </w:lvl>
    <w:lvl w:ilvl="8" w:tplc="0414001B" w:tentative="1">
      <w:start w:val="1"/>
      <w:numFmt w:val="lowerRoman"/>
      <w:lvlText w:val="%9."/>
      <w:lvlJc w:val="right"/>
      <w:pPr>
        <w:tabs>
          <w:tab w:val="num" w:pos="6131"/>
        </w:tabs>
        <w:ind w:left="6131" w:hanging="180"/>
      </w:pPr>
    </w:lvl>
  </w:abstractNum>
  <w:abstractNum w:abstractNumId="14">
    <w:nsid w:val="46295C4C"/>
    <w:multiLevelType w:val="hybridMultilevel"/>
    <w:tmpl w:val="0D304C50"/>
    <w:lvl w:ilvl="0" w:tplc="E8C43988">
      <w:start w:val="1"/>
      <w:numFmt w:val="lowerLetter"/>
      <w:lvlText w:val="%1."/>
      <w:lvlJc w:val="left"/>
      <w:pPr>
        <w:tabs>
          <w:tab w:val="num" w:pos="1069"/>
        </w:tabs>
        <w:ind w:left="1069" w:hanging="360"/>
      </w:pPr>
      <w:rPr>
        <w:rFonts w:hint="default"/>
      </w:rPr>
    </w:lvl>
    <w:lvl w:ilvl="1" w:tplc="04140019">
      <w:start w:val="1"/>
      <w:numFmt w:val="lowerLetter"/>
      <w:lvlText w:val="%2."/>
      <w:lvlJc w:val="left"/>
      <w:pPr>
        <w:tabs>
          <w:tab w:val="num" w:pos="1429"/>
        </w:tabs>
        <w:ind w:left="1429" w:hanging="360"/>
      </w:pPr>
    </w:lvl>
    <w:lvl w:ilvl="2" w:tplc="0414001B">
      <w:start w:val="1"/>
      <w:numFmt w:val="lowerRoman"/>
      <w:lvlText w:val="%3."/>
      <w:lvlJc w:val="right"/>
      <w:pPr>
        <w:tabs>
          <w:tab w:val="num" w:pos="2149"/>
        </w:tabs>
        <w:ind w:left="2149" w:hanging="180"/>
      </w:pPr>
    </w:lvl>
    <w:lvl w:ilvl="3" w:tplc="0414000F">
      <w:start w:val="1"/>
      <w:numFmt w:val="decimal"/>
      <w:lvlText w:val="%4."/>
      <w:lvlJc w:val="left"/>
      <w:pPr>
        <w:tabs>
          <w:tab w:val="num" w:pos="2869"/>
        </w:tabs>
        <w:ind w:left="2869" w:hanging="360"/>
      </w:pPr>
    </w:lvl>
    <w:lvl w:ilvl="4" w:tplc="04140019">
      <w:start w:val="1"/>
      <w:numFmt w:val="lowerLetter"/>
      <w:lvlText w:val="%5."/>
      <w:lvlJc w:val="left"/>
      <w:pPr>
        <w:tabs>
          <w:tab w:val="num" w:pos="3589"/>
        </w:tabs>
        <w:ind w:left="3589" w:hanging="360"/>
      </w:pPr>
    </w:lvl>
    <w:lvl w:ilvl="5" w:tplc="0414001B">
      <w:start w:val="1"/>
      <w:numFmt w:val="lowerRoman"/>
      <w:lvlText w:val="%6."/>
      <w:lvlJc w:val="right"/>
      <w:pPr>
        <w:tabs>
          <w:tab w:val="num" w:pos="4309"/>
        </w:tabs>
        <w:ind w:left="4309" w:hanging="180"/>
      </w:pPr>
    </w:lvl>
    <w:lvl w:ilvl="6" w:tplc="0414000F">
      <w:start w:val="1"/>
      <w:numFmt w:val="decimal"/>
      <w:lvlText w:val="%7."/>
      <w:lvlJc w:val="left"/>
      <w:pPr>
        <w:tabs>
          <w:tab w:val="num" w:pos="5029"/>
        </w:tabs>
        <w:ind w:left="5029" w:hanging="360"/>
      </w:pPr>
    </w:lvl>
    <w:lvl w:ilvl="7" w:tplc="04140019">
      <w:start w:val="1"/>
      <w:numFmt w:val="lowerLetter"/>
      <w:lvlText w:val="%8."/>
      <w:lvlJc w:val="left"/>
      <w:pPr>
        <w:tabs>
          <w:tab w:val="num" w:pos="5749"/>
        </w:tabs>
        <w:ind w:left="5749" w:hanging="360"/>
      </w:pPr>
    </w:lvl>
    <w:lvl w:ilvl="8" w:tplc="0414001B">
      <w:start w:val="1"/>
      <w:numFmt w:val="lowerRoman"/>
      <w:lvlText w:val="%9."/>
      <w:lvlJc w:val="right"/>
      <w:pPr>
        <w:tabs>
          <w:tab w:val="num" w:pos="6469"/>
        </w:tabs>
        <w:ind w:left="6469" w:hanging="180"/>
      </w:pPr>
    </w:lvl>
  </w:abstractNum>
  <w:abstractNum w:abstractNumId="15">
    <w:nsid w:val="492D050A"/>
    <w:multiLevelType w:val="hybridMultilevel"/>
    <w:tmpl w:val="FF72453C"/>
    <w:lvl w:ilvl="0" w:tplc="E8C43988">
      <w:start w:val="1"/>
      <w:numFmt w:val="lowerLetter"/>
      <w:lvlText w:val="%1."/>
      <w:lvlJc w:val="left"/>
      <w:pPr>
        <w:tabs>
          <w:tab w:val="num" w:pos="1069"/>
        </w:tabs>
        <w:ind w:left="1069" w:hanging="360"/>
      </w:pPr>
      <w:rPr>
        <w:rFonts w:hint="default"/>
      </w:rPr>
    </w:lvl>
    <w:lvl w:ilvl="1" w:tplc="04140019">
      <w:start w:val="1"/>
      <w:numFmt w:val="lowerLetter"/>
      <w:lvlText w:val="%2."/>
      <w:lvlJc w:val="left"/>
      <w:pPr>
        <w:tabs>
          <w:tab w:val="num" w:pos="1429"/>
        </w:tabs>
        <w:ind w:left="1429" w:hanging="360"/>
      </w:pPr>
    </w:lvl>
    <w:lvl w:ilvl="2" w:tplc="0414001B">
      <w:start w:val="1"/>
      <w:numFmt w:val="lowerRoman"/>
      <w:lvlText w:val="%3."/>
      <w:lvlJc w:val="right"/>
      <w:pPr>
        <w:tabs>
          <w:tab w:val="num" w:pos="2149"/>
        </w:tabs>
        <w:ind w:left="2149" w:hanging="180"/>
      </w:pPr>
    </w:lvl>
    <w:lvl w:ilvl="3" w:tplc="0414000F">
      <w:start w:val="1"/>
      <w:numFmt w:val="decimal"/>
      <w:lvlText w:val="%4."/>
      <w:lvlJc w:val="left"/>
      <w:pPr>
        <w:tabs>
          <w:tab w:val="num" w:pos="2869"/>
        </w:tabs>
        <w:ind w:left="2869" w:hanging="360"/>
      </w:pPr>
    </w:lvl>
    <w:lvl w:ilvl="4" w:tplc="04140019">
      <w:start w:val="1"/>
      <w:numFmt w:val="lowerLetter"/>
      <w:lvlText w:val="%5."/>
      <w:lvlJc w:val="left"/>
      <w:pPr>
        <w:tabs>
          <w:tab w:val="num" w:pos="3589"/>
        </w:tabs>
        <w:ind w:left="3589" w:hanging="360"/>
      </w:pPr>
    </w:lvl>
    <w:lvl w:ilvl="5" w:tplc="0414001B">
      <w:start w:val="1"/>
      <w:numFmt w:val="lowerRoman"/>
      <w:lvlText w:val="%6."/>
      <w:lvlJc w:val="right"/>
      <w:pPr>
        <w:tabs>
          <w:tab w:val="num" w:pos="4309"/>
        </w:tabs>
        <w:ind w:left="4309" w:hanging="180"/>
      </w:pPr>
    </w:lvl>
    <w:lvl w:ilvl="6" w:tplc="0414000F">
      <w:start w:val="1"/>
      <w:numFmt w:val="decimal"/>
      <w:lvlText w:val="%7."/>
      <w:lvlJc w:val="left"/>
      <w:pPr>
        <w:tabs>
          <w:tab w:val="num" w:pos="5029"/>
        </w:tabs>
        <w:ind w:left="5029" w:hanging="360"/>
      </w:pPr>
    </w:lvl>
    <w:lvl w:ilvl="7" w:tplc="04140019">
      <w:start w:val="1"/>
      <w:numFmt w:val="lowerLetter"/>
      <w:lvlText w:val="%8."/>
      <w:lvlJc w:val="left"/>
      <w:pPr>
        <w:tabs>
          <w:tab w:val="num" w:pos="5749"/>
        </w:tabs>
        <w:ind w:left="5749" w:hanging="360"/>
      </w:pPr>
    </w:lvl>
    <w:lvl w:ilvl="8" w:tplc="0414001B">
      <w:start w:val="1"/>
      <w:numFmt w:val="lowerRoman"/>
      <w:lvlText w:val="%9."/>
      <w:lvlJc w:val="right"/>
      <w:pPr>
        <w:tabs>
          <w:tab w:val="num" w:pos="6469"/>
        </w:tabs>
        <w:ind w:left="6469" w:hanging="180"/>
      </w:pPr>
    </w:lvl>
  </w:abstractNum>
  <w:abstractNum w:abstractNumId="16">
    <w:nsid w:val="6ADD6D2E"/>
    <w:multiLevelType w:val="hybridMultilevel"/>
    <w:tmpl w:val="AEA0D740"/>
    <w:lvl w:ilvl="0" w:tplc="AB347A00">
      <w:start w:val="1"/>
      <w:numFmt w:val="decimal"/>
      <w:pStyle w:val="Overskrift1"/>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7">
    <w:nsid w:val="6E393E3D"/>
    <w:multiLevelType w:val="hybridMultilevel"/>
    <w:tmpl w:val="2632B3E8"/>
    <w:lvl w:ilvl="0" w:tplc="04140017">
      <w:start w:val="1"/>
      <w:numFmt w:val="lowerLetter"/>
      <w:lvlText w:val="%1)"/>
      <w:lvlJc w:val="left"/>
      <w:pPr>
        <w:tabs>
          <w:tab w:val="num" w:pos="720"/>
        </w:tabs>
        <w:ind w:left="720" w:hanging="360"/>
      </w:pPr>
      <w:rPr>
        <w:rFonts w:ascii="Times New Roman" w:hAnsi="Times New Roman" w:cs="Times New Roman"/>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18">
    <w:nsid w:val="75F054FE"/>
    <w:multiLevelType w:val="hybridMultilevel"/>
    <w:tmpl w:val="FD3A2AB8"/>
    <w:lvl w:ilvl="0" w:tplc="69CAF942">
      <w:start w:val="1"/>
      <w:numFmt w:val="decimal"/>
      <w:lvlText w:val="%1)"/>
      <w:lvlJc w:val="left"/>
      <w:pPr>
        <w:tabs>
          <w:tab w:val="num" w:pos="567"/>
        </w:tabs>
        <w:ind w:left="567" w:hanging="567"/>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9">
    <w:nsid w:val="7C0F2337"/>
    <w:multiLevelType w:val="hybridMultilevel"/>
    <w:tmpl w:val="43B00A4C"/>
    <w:lvl w:ilvl="0" w:tplc="E8C43988">
      <w:start w:val="1"/>
      <w:numFmt w:val="lowerLetter"/>
      <w:lvlText w:val="%1."/>
      <w:lvlJc w:val="left"/>
      <w:pPr>
        <w:tabs>
          <w:tab w:val="num" w:pos="1069"/>
        </w:tabs>
        <w:ind w:left="1069"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7"/>
  </w:num>
  <w:num w:numId="4">
    <w:abstractNumId w:val="14"/>
  </w:num>
  <w:num w:numId="5">
    <w:abstractNumId w:val="7"/>
    <w:lvlOverride w:ilvl="0">
      <w:startOverride w:val="1"/>
    </w:lvlOverride>
  </w:num>
  <w:num w:numId="6">
    <w:abstractNumId w:val="3"/>
  </w:num>
  <w:num w:numId="7">
    <w:abstractNumId w:val="13"/>
  </w:num>
  <w:num w:numId="8">
    <w:abstractNumId w:val="19"/>
  </w:num>
  <w:num w:numId="9">
    <w:abstractNumId w:val="15"/>
  </w:num>
  <w:num w:numId="10">
    <w:abstractNumId w:val="10"/>
  </w:num>
  <w:num w:numId="11">
    <w:abstractNumId w:val="5"/>
  </w:num>
  <w:num w:numId="12">
    <w:abstractNumId w:val="18"/>
  </w:num>
  <w:num w:numId="13">
    <w:abstractNumId w:val="6"/>
  </w:num>
  <w:num w:numId="14">
    <w:abstractNumId w:val="0"/>
    <w:lvlOverride w:ilvl="0">
      <w:startOverride w:val="7"/>
    </w:lvlOverride>
    <w:lvlOverride w:ilvl="1">
      <w:startOverride w:val="3"/>
    </w:lvlOverride>
    <w:lvlOverride w:ilvl="2">
      <w:startOverride w:val="2"/>
    </w:lvlOverride>
  </w:num>
  <w:num w:numId="15">
    <w:abstractNumId w:val="8"/>
  </w:num>
  <w:num w:numId="16">
    <w:abstractNumId w:val="17"/>
  </w:num>
  <w:num w:numId="17">
    <w:abstractNumId w:val="9"/>
  </w:num>
  <w:num w:numId="18">
    <w:abstractNumId w:val="11"/>
  </w:num>
  <w:num w:numId="19">
    <w:abstractNumId w:val="2"/>
  </w:num>
  <w:num w:numId="20">
    <w:abstractNumId w:val="1"/>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2E03C3"/>
    <w:rsid w:val="00036565"/>
    <w:rsid w:val="00037AD2"/>
    <w:rsid w:val="00062D43"/>
    <w:rsid w:val="002A4AC5"/>
    <w:rsid w:val="002B71FE"/>
    <w:rsid w:val="002E03C3"/>
    <w:rsid w:val="00356161"/>
    <w:rsid w:val="003C368F"/>
    <w:rsid w:val="0040746B"/>
    <w:rsid w:val="004A14E8"/>
    <w:rsid w:val="004C2002"/>
    <w:rsid w:val="0051510E"/>
    <w:rsid w:val="00666BCB"/>
    <w:rsid w:val="006F0416"/>
    <w:rsid w:val="0073362F"/>
    <w:rsid w:val="00894B9C"/>
    <w:rsid w:val="008C74EA"/>
    <w:rsid w:val="008F1775"/>
    <w:rsid w:val="00961A00"/>
    <w:rsid w:val="00A06EAF"/>
    <w:rsid w:val="00B645D3"/>
    <w:rsid w:val="00B80986"/>
    <w:rsid w:val="00B947ED"/>
    <w:rsid w:val="00BE038E"/>
    <w:rsid w:val="00C46628"/>
    <w:rsid w:val="00C974A0"/>
    <w:rsid w:val="00CC4FD2"/>
    <w:rsid w:val="00D05265"/>
    <w:rsid w:val="00D575FD"/>
    <w:rsid w:val="00DE5197"/>
    <w:rsid w:val="00FD50BF"/>
    <w:rsid w:val="00FF5C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qFormat/>
    <w:rsid w:val="002E03C3"/>
    <w:pPr>
      <w:keepNext/>
      <w:numPr>
        <w:numId w:val="1"/>
      </w:numPr>
      <w:spacing w:before="240" w:after="60" w:line="240" w:lineRule="auto"/>
      <w:outlineLvl w:val="0"/>
    </w:pPr>
    <w:rPr>
      <w:rFonts w:ascii="Arial" w:eastAsia="Times New Roman" w:hAnsi="Arial" w:cs="Times New Roman"/>
      <w:b/>
      <w:color w:val="000000"/>
      <w:kern w:val="28"/>
      <w:sz w:val="32"/>
      <w:szCs w:val="20"/>
      <w:lang w:eastAsia="nb-NO"/>
    </w:rPr>
  </w:style>
  <w:style w:type="paragraph" w:styleId="Overskrift2">
    <w:name w:val="heading 2"/>
    <w:basedOn w:val="Normal"/>
    <w:next w:val="Normal"/>
    <w:link w:val="Overskrift2Tegn"/>
    <w:autoRedefine/>
    <w:qFormat/>
    <w:rsid w:val="002E03C3"/>
    <w:pPr>
      <w:keepNext/>
      <w:spacing w:after="0" w:line="240" w:lineRule="auto"/>
      <w:outlineLvl w:val="1"/>
    </w:pPr>
    <w:rPr>
      <w:rFonts w:ascii="Times New Roman" w:eastAsia="Times New Roman" w:hAnsi="Times New Roman" w:cs="Times New Roman"/>
      <w:b/>
      <w:bCs/>
      <w:smallCaps/>
      <w:szCs w:val="24"/>
      <w:lang w:eastAsia="nb-NO"/>
    </w:rPr>
  </w:style>
  <w:style w:type="paragraph" w:styleId="Overskrift3">
    <w:name w:val="heading 3"/>
    <w:basedOn w:val="Normal"/>
    <w:next w:val="Normal"/>
    <w:link w:val="Overskrift3Tegn"/>
    <w:qFormat/>
    <w:rsid w:val="002E03C3"/>
    <w:pPr>
      <w:keepNext/>
      <w:keepLines/>
      <w:spacing w:after="180" w:line="240" w:lineRule="auto"/>
      <w:outlineLvl w:val="2"/>
    </w:pPr>
    <w:rPr>
      <w:rFonts w:ascii="Times New Roman" w:eastAsia="Times New Roman" w:hAnsi="Times New Roman" w:cs="Times New Roman"/>
      <w:b/>
      <w:bCs/>
      <w:lang w:eastAsia="nb-NO"/>
    </w:rPr>
  </w:style>
  <w:style w:type="paragraph" w:styleId="Overskrift4">
    <w:name w:val="heading 4"/>
    <w:basedOn w:val="Normal"/>
    <w:next w:val="Normal"/>
    <w:link w:val="Overskrift4Tegn"/>
    <w:qFormat/>
    <w:rsid w:val="002E03C3"/>
    <w:pPr>
      <w:keepNext/>
      <w:keepLines/>
      <w:widowControl w:val="0"/>
      <w:spacing w:before="240" w:after="60" w:line="240" w:lineRule="auto"/>
      <w:outlineLvl w:val="3"/>
    </w:pPr>
    <w:rPr>
      <w:rFonts w:ascii="Times New Roman" w:eastAsia="Times New Roman" w:hAnsi="Times New Roman" w:cs="Times New Roman"/>
      <w:b/>
      <w:bCs/>
      <w:i/>
      <w:iCs/>
      <w:szCs w:val="24"/>
      <w:lang w:eastAsia="nb-NO"/>
    </w:rPr>
  </w:style>
  <w:style w:type="paragraph" w:styleId="Overskrift5">
    <w:name w:val="heading 5"/>
    <w:basedOn w:val="Normal"/>
    <w:next w:val="Normal"/>
    <w:link w:val="Overskrift5Tegn"/>
    <w:qFormat/>
    <w:rsid w:val="002E03C3"/>
    <w:pPr>
      <w:keepLines/>
      <w:widowControl w:val="0"/>
      <w:spacing w:before="240" w:after="60" w:line="240" w:lineRule="auto"/>
      <w:outlineLvl w:val="4"/>
    </w:pPr>
    <w:rPr>
      <w:rFonts w:ascii="Arial" w:eastAsia="Times New Roman" w:hAnsi="Arial" w:cs="Arial"/>
      <w:lang w:eastAsia="nb-NO"/>
    </w:rPr>
  </w:style>
  <w:style w:type="paragraph" w:styleId="Overskrift6">
    <w:name w:val="heading 6"/>
    <w:basedOn w:val="Normal"/>
    <w:next w:val="Normal"/>
    <w:link w:val="Overskrift6Tegn"/>
    <w:qFormat/>
    <w:rsid w:val="002E03C3"/>
    <w:pPr>
      <w:keepLines/>
      <w:widowControl w:val="0"/>
      <w:spacing w:before="240" w:after="60" w:line="240" w:lineRule="auto"/>
      <w:outlineLvl w:val="5"/>
    </w:pPr>
    <w:rPr>
      <w:rFonts w:ascii="Arial" w:eastAsia="Times New Roman" w:hAnsi="Arial" w:cs="Arial"/>
      <w:i/>
      <w:iCs/>
      <w:lang w:eastAsia="nb-NO"/>
    </w:rPr>
  </w:style>
  <w:style w:type="paragraph" w:styleId="Overskrift7">
    <w:name w:val="heading 7"/>
    <w:basedOn w:val="Normal"/>
    <w:next w:val="Normal"/>
    <w:link w:val="Overskrift7Tegn"/>
    <w:qFormat/>
    <w:rsid w:val="002E03C3"/>
    <w:pPr>
      <w:keepLines/>
      <w:widowControl w:val="0"/>
      <w:spacing w:before="240" w:after="60" w:line="240" w:lineRule="auto"/>
      <w:outlineLvl w:val="6"/>
    </w:pPr>
    <w:rPr>
      <w:rFonts w:ascii="Arial" w:eastAsia="Times New Roman" w:hAnsi="Arial" w:cs="Arial"/>
      <w:sz w:val="20"/>
      <w:szCs w:val="20"/>
      <w:lang w:eastAsia="nb-NO"/>
    </w:rPr>
  </w:style>
  <w:style w:type="paragraph" w:styleId="Overskrift8">
    <w:name w:val="heading 8"/>
    <w:basedOn w:val="Normal"/>
    <w:next w:val="Normal"/>
    <w:link w:val="Overskrift8Tegn"/>
    <w:qFormat/>
    <w:rsid w:val="002E03C3"/>
    <w:pPr>
      <w:keepLines/>
      <w:widowControl w:val="0"/>
      <w:spacing w:before="240" w:after="60" w:line="240" w:lineRule="auto"/>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qFormat/>
    <w:rsid w:val="002E03C3"/>
    <w:pPr>
      <w:keepLines/>
      <w:widowControl w:val="0"/>
      <w:spacing w:before="240" w:after="60" w:line="240" w:lineRule="auto"/>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2E03C3"/>
    <w:rPr>
      <w:rFonts w:ascii="Arial" w:eastAsia="Times New Roman" w:hAnsi="Arial" w:cs="Times New Roman"/>
      <w:b/>
      <w:color w:val="000000"/>
      <w:kern w:val="28"/>
      <w:sz w:val="32"/>
      <w:szCs w:val="20"/>
      <w:lang w:eastAsia="nb-NO"/>
    </w:rPr>
  </w:style>
  <w:style w:type="character" w:customStyle="1" w:styleId="Overskrift2Tegn">
    <w:name w:val="Overskrift 2 Tegn"/>
    <w:basedOn w:val="Standardskriftforavsnitt"/>
    <w:link w:val="Overskrift2"/>
    <w:rsid w:val="002E03C3"/>
    <w:rPr>
      <w:rFonts w:ascii="Times New Roman" w:eastAsia="Times New Roman" w:hAnsi="Times New Roman" w:cs="Times New Roman"/>
      <w:b/>
      <w:bCs/>
      <w:smallCaps/>
      <w:szCs w:val="24"/>
      <w:lang w:eastAsia="nb-NO"/>
    </w:rPr>
  </w:style>
  <w:style w:type="character" w:customStyle="1" w:styleId="Overskrift3Tegn">
    <w:name w:val="Overskrift 3 Tegn"/>
    <w:basedOn w:val="Standardskriftforavsnitt"/>
    <w:link w:val="Overskrift3"/>
    <w:rsid w:val="002E03C3"/>
    <w:rPr>
      <w:rFonts w:ascii="Times New Roman" w:eastAsia="Times New Roman" w:hAnsi="Times New Roman" w:cs="Times New Roman"/>
      <w:b/>
      <w:bCs/>
      <w:lang w:eastAsia="nb-NO"/>
    </w:rPr>
  </w:style>
  <w:style w:type="character" w:customStyle="1" w:styleId="Overskrift4Tegn">
    <w:name w:val="Overskrift 4 Tegn"/>
    <w:basedOn w:val="Standardskriftforavsnitt"/>
    <w:link w:val="Overskrift4"/>
    <w:rsid w:val="002E03C3"/>
    <w:rPr>
      <w:rFonts w:ascii="Times New Roman" w:eastAsia="Times New Roman" w:hAnsi="Times New Roman" w:cs="Times New Roman"/>
      <w:b/>
      <w:bCs/>
      <w:i/>
      <w:iCs/>
      <w:szCs w:val="24"/>
      <w:lang w:eastAsia="nb-NO"/>
    </w:rPr>
  </w:style>
  <w:style w:type="character" w:customStyle="1" w:styleId="Overskrift5Tegn">
    <w:name w:val="Overskrift 5 Tegn"/>
    <w:basedOn w:val="Standardskriftforavsnitt"/>
    <w:link w:val="Overskrift5"/>
    <w:rsid w:val="002E03C3"/>
    <w:rPr>
      <w:rFonts w:ascii="Arial" w:eastAsia="Times New Roman" w:hAnsi="Arial" w:cs="Arial"/>
      <w:lang w:eastAsia="nb-NO"/>
    </w:rPr>
  </w:style>
  <w:style w:type="character" w:customStyle="1" w:styleId="Overskrift6Tegn">
    <w:name w:val="Overskrift 6 Tegn"/>
    <w:basedOn w:val="Standardskriftforavsnitt"/>
    <w:link w:val="Overskrift6"/>
    <w:rsid w:val="002E03C3"/>
    <w:rPr>
      <w:rFonts w:ascii="Arial" w:eastAsia="Times New Roman" w:hAnsi="Arial" w:cs="Arial"/>
      <w:i/>
      <w:iCs/>
      <w:lang w:eastAsia="nb-NO"/>
    </w:rPr>
  </w:style>
  <w:style w:type="character" w:customStyle="1" w:styleId="Overskrift7Tegn">
    <w:name w:val="Overskrift 7 Tegn"/>
    <w:basedOn w:val="Standardskriftforavsnitt"/>
    <w:link w:val="Overskrift7"/>
    <w:rsid w:val="002E03C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2E03C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2E03C3"/>
    <w:rPr>
      <w:rFonts w:ascii="Arial" w:eastAsia="Times New Roman" w:hAnsi="Arial" w:cs="Arial"/>
      <w:i/>
      <w:iCs/>
      <w:sz w:val="18"/>
      <w:szCs w:val="18"/>
      <w:lang w:eastAsia="nb-NO"/>
    </w:rPr>
  </w:style>
  <w:style w:type="paragraph" w:styleId="Brdtekst">
    <w:name w:val="Body Text"/>
    <w:basedOn w:val="Normal"/>
    <w:link w:val="BrdtekstTegn"/>
    <w:semiHidden/>
    <w:rsid w:val="002E03C3"/>
    <w:pPr>
      <w:spacing w:after="0" w:line="240" w:lineRule="auto"/>
    </w:pPr>
    <w:rPr>
      <w:rFonts w:ascii="Times New Roman" w:eastAsia="Times New Roman" w:hAnsi="Times New Roman" w:cs="Times New Roman"/>
      <w:i/>
      <w:iCs/>
      <w:szCs w:val="24"/>
    </w:rPr>
  </w:style>
  <w:style w:type="character" w:customStyle="1" w:styleId="BrdtekstTegn">
    <w:name w:val="Brødtekst Tegn"/>
    <w:basedOn w:val="Standardskriftforavsnitt"/>
    <w:link w:val="Brdtekst"/>
    <w:semiHidden/>
    <w:rsid w:val="002E03C3"/>
    <w:rPr>
      <w:rFonts w:ascii="Times New Roman" w:eastAsia="Times New Roman" w:hAnsi="Times New Roman" w:cs="Times New Roman"/>
      <w:i/>
      <w:iCs/>
      <w:szCs w:val="24"/>
    </w:rPr>
  </w:style>
  <w:style w:type="paragraph" w:styleId="Dato">
    <w:name w:val="Date"/>
    <w:basedOn w:val="Normal"/>
    <w:next w:val="Normal"/>
    <w:link w:val="DatoTegn"/>
    <w:semiHidden/>
    <w:rsid w:val="002E03C3"/>
    <w:pPr>
      <w:keepLines/>
      <w:widowControl w:val="0"/>
      <w:spacing w:after="0" w:line="240" w:lineRule="auto"/>
    </w:pPr>
    <w:rPr>
      <w:rFonts w:ascii="Times New Roman" w:eastAsia="Times New Roman" w:hAnsi="Times New Roman" w:cs="Times New Roman"/>
      <w:szCs w:val="24"/>
      <w:lang w:eastAsia="nb-NO"/>
    </w:rPr>
  </w:style>
  <w:style w:type="character" w:customStyle="1" w:styleId="DatoTegn">
    <w:name w:val="Dato Tegn"/>
    <w:basedOn w:val="Standardskriftforavsnitt"/>
    <w:link w:val="Dato"/>
    <w:semiHidden/>
    <w:rsid w:val="002E03C3"/>
    <w:rPr>
      <w:rFonts w:ascii="Times New Roman" w:eastAsia="Times New Roman" w:hAnsi="Times New Roman" w:cs="Times New Roman"/>
      <w:szCs w:val="24"/>
      <w:lang w:eastAsia="nb-NO"/>
    </w:rPr>
  </w:style>
  <w:style w:type="paragraph" w:customStyle="1" w:styleId="Tabellnavn">
    <w:name w:val="Tabellnavn"/>
    <w:basedOn w:val="Normal"/>
    <w:rsid w:val="002E03C3"/>
    <w:pPr>
      <w:keepLines/>
      <w:widowControl w:val="0"/>
      <w:spacing w:after="0" w:line="240" w:lineRule="auto"/>
    </w:pPr>
    <w:rPr>
      <w:rFonts w:ascii="Times New Roman" w:eastAsia="Times New Roman" w:hAnsi="Times New Roman" w:cs="Times New Roman"/>
      <w:i/>
      <w:iCs/>
      <w:lang w:eastAsia="nb-NO"/>
    </w:rPr>
  </w:style>
  <w:style w:type="paragraph" w:customStyle="1" w:styleId="nummerertliste1">
    <w:name w:val="nummerert liste 1"/>
    <w:basedOn w:val="Normal"/>
    <w:rsid w:val="002E03C3"/>
    <w:pPr>
      <w:numPr>
        <w:numId w:val="3"/>
      </w:numPr>
      <w:spacing w:after="180" w:line="240" w:lineRule="auto"/>
    </w:pPr>
    <w:rPr>
      <w:rFonts w:ascii="Times New Roman" w:eastAsia="Times New Roman" w:hAnsi="Times New Roman" w:cs="Times New Roman"/>
      <w:lang w:eastAsia="nb-NO"/>
    </w:rPr>
  </w:style>
  <w:style w:type="paragraph" w:customStyle="1" w:styleId="Bokstavliste2">
    <w:name w:val="Bokstavliste 2"/>
    <w:basedOn w:val="Normal"/>
    <w:rsid w:val="002E03C3"/>
    <w:pPr>
      <w:keepLines/>
      <w:widowControl w:val="0"/>
      <w:numPr>
        <w:ilvl w:val="1"/>
        <w:numId w:val="3"/>
      </w:numPr>
      <w:spacing w:after="60" w:line="240" w:lineRule="auto"/>
    </w:pPr>
    <w:rPr>
      <w:rFonts w:ascii="Times New Roman" w:eastAsia="Times New Roman" w:hAnsi="Times New Roman" w:cs="Times New Roman"/>
      <w:lang w:eastAsia="nb-NO"/>
    </w:rPr>
  </w:style>
  <w:style w:type="paragraph" w:styleId="Merknadstekst">
    <w:name w:val="annotation text"/>
    <w:basedOn w:val="Normal"/>
    <w:link w:val="MerknadstekstTegn"/>
    <w:semiHidden/>
    <w:rsid w:val="002E03C3"/>
    <w:pPr>
      <w:keepLines/>
      <w:widowControl w:val="0"/>
      <w:spacing w:after="0" w:line="240" w:lineRule="auto"/>
    </w:pPr>
    <w:rPr>
      <w:rFonts w:ascii="Times New Roman" w:eastAsia="Times New Roman" w:hAnsi="Times New Roman" w:cs="Times New Roman"/>
      <w:lang w:eastAsia="nb-NO"/>
    </w:rPr>
  </w:style>
  <w:style w:type="character" w:customStyle="1" w:styleId="MerknadstekstTegn">
    <w:name w:val="Merknadstekst Tegn"/>
    <w:basedOn w:val="Standardskriftforavsnitt"/>
    <w:link w:val="Merknadstekst"/>
    <w:semiHidden/>
    <w:rsid w:val="002E03C3"/>
    <w:rPr>
      <w:rFonts w:ascii="Times New Roman" w:eastAsia="Times New Roman" w:hAnsi="Times New Roman" w:cs="Times New Roman"/>
      <w:lang w:eastAsia="nb-NO"/>
    </w:rPr>
  </w:style>
  <w:style w:type="paragraph" w:styleId="Brdtekst2">
    <w:name w:val="Body Text 2"/>
    <w:basedOn w:val="Normal"/>
    <w:link w:val="Brdtekst2Tegn"/>
    <w:semiHidden/>
    <w:rsid w:val="002E03C3"/>
    <w:pPr>
      <w:framePr w:hSpace="180" w:wrap="around" w:vAnchor="text" w:hAnchor="text" w:y="1"/>
      <w:spacing w:after="0" w:line="240" w:lineRule="auto"/>
    </w:pPr>
    <w:rPr>
      <w:rFonts w:ascii="Times New Roman" w:eastAsia="Times New Roman" w:hAnsi="Times New Roman" w:cs="Times New Roman"/>
      <w:szCs w:val="20"/>
    </w:rPr>
  </w:style>
  <w:style w:type="character" w:customStyle="1" w:styleId="Brdtekst2Tegn">
    <w:name w:val="Brødtekst 2 Tegn"/>
    <w:basedOn w:val="Standardskriftforavsnitt"/>
    <w:link w:val="Brdtekst2"/>
    <w:semiHidden/>
    <w:rsid w:val="002E03C3"/>
    <w:rPr>
      <w:rFonts w:ascii="Times New Roman" w:eastAsia="Times New Roman" w:hAnsi="Times New Roman" w:cs="Times New Roman"/>
      <w:szCs w:val="20"/>
    </w:rPr>
  </w:style>
  <w:style w:type="paragraph" w:styleId="Brdtekst3">
    <w:name w:val="Body Text 3"/>
    <w:basedOn w:val="Normal"/>
    <w:link w:val="Brdtekst3Tegn"/>
    <w:semiHidden/>
    <w:rsid w:val="002E03C3"/>
    <w:pPr>
      <w:spacing w:after="0" w:line="240" w:lineRule="auto"/>
    </w:pPr>
    <w:rPr>
      <w:rFonts w:ascii="Times New Roman" w:eastAsia="Times New Roman" w:hAnsi="Times New Roman" w:cs="Times New Roman"/>
      <w:szCs w:val="24"/>
      <w:lang w:eastAsia="nb-NO"/>
    </w:rPr>
  </w:style>
  <w:style w:type="character" w:customStyle="1" w:styleId="Brdtekst3Tegn">
    <w:name w:val="Brødtekst 3 Tegn"/>
    <w:basedOn w:val="Standardskriftforavsnitt"/>
    <w:link w:val="Brdtekst3"/>
    <w:semiHidden/>
    <w:rsid w:val="002E03C3"/>
    <w:rPr>
      <w:rFonts w:ascii="Times New Roman" w:eastAsia="Times New Roman" w:hAnsi="Times New Roman" w:cs="Times New Roman"/>
      <w:szCs w:val="24"/>
      <w:lang w:eastAsia="nb-NO"/>
    </w:rPr>
  </w:style>
  <w:style w:type="paragraph" w:styleId="Topptekst">
    <w:name w:val="header"/>
    <w:basedOn w:val="Normal"/>
    <w:link w:val="TopptekstTegn"/>
    <w:semiHidden/>
    <w:rsid w:val="002E03C3"/>
    <w:pPr>
      <w:tabs>
        <w:tab w:val="center" w:pos="4536"/>
        <w:tab w:val="right" w:pos="9072"/>
      </w:tabs>
      <w:spacing w:after="0" w:line="240" w:lineRule="auto"/>
    </w:pPr>
    <w:rPr>
      <w:rFonts w:ascii="Times New Roman" w:eastAsia="Times New Roman" w:hAnsi="Times New Roman" w:cs="Times New Roman"/>
      <w:szCs w:val="24"/>
      <w:lang w:eastAsia="nb-NO"/>
    </w:rPr>
  </w:style>
  <w:style w:type="character" w:customStyle="1" w:styleId="TopptekstTegn">
    <w:name w:val="Topptekst Tegn"/>
    <w:basedOn w:val="Standardskriftforavsnitt"/>
    <w:link w:val="Topptekst"/>
    <w:semiHidden/>
    <w:rsid w:val="002E03C3"/>
    <w:rPr>
      <w:rFonts w:ascii="Times New Roman" w:eastAsia="Times New Roman" w:hAnsi="Times New Roman" w:cs="Times New Roman"/>
      <w:szCs w:val="24"/>
      <w:lang w:eastAsia="nb-NO"/>
    </w:rPr>
  </w:style>
  <w:style w:type="paragraph" w:styleId="Bunntekst">
    <w:name w:val="footer"/>
    <w:basedOn w:val="Normal"/>
    <w:link w:val="BunntekstTegn"/>
    <w:uiPriority w:val="99"/>
    <w:rsid w:val="002E03C3"/>
    <w:pPr>
      <w:tabs>
        <w:tab w:val="center" w:pos="4536"/>
        <w:tab w:val="right" w:pos="9072"/>
      </w:tabs>
      <w:spacing w:after="0" w:line="240" w:lineRule="auto"/>
    </w:pPr>
    <w:rPr>
      <w:rFonts w:ascii="Times New Roman" w:eastAsia="Times New Roman" w:hAnsi="Times New Roman" w:cs="Times New Roman"/>
      <w:szCs w:val="24"/>
      <w:lang w:eastAsia="nb-NO"/>
    </w:rPr>
  </w:style>
  <w:style w:type="character" w:customStyle="1" w:styleId="BunntekstTegn">
    <w:name w:val="Bunntekst Tegn"/>
    <w:basedOn w:val="Standardskriftforavsnitt"/>
    <w:link w:val="Bunntekst"/>
    <w:uiPriority w:val="99"/>
    <w:rsid w:val="002E03C3"/>
    <w:rPr>
      <w:rFonts w:ascii="Times New Roman" w:eastAsia="Times New Roman" w:hAnsi="Times New Roman" w:cs="Times New Roman"/>
      <w:szCs w:val="24"/>
      <w:lang w:eastAsia="nb-NO"/>
    </w:rPr>
  </w:style>
  <w:style w:type="character" w:styleId="Merknadsreferanse">
    <w:name w:val="annotation reference"/>
    <w:semiHidden/>
    <w:rsid w:val="002E03C3"/>
    <w:rPr>
      <w:rFonts w:ascii="Times New Roman" w:hAnsi="Times New Roman" w:cs="Times New Roman"/>
      <w:sz w:val="16"/>
      <w:szCs w:val="16"/>
    </w:rPr>
  </w:style>
  <w:style w:type="character" w:styleId="Hyperkobling">
    <w:name w:val="Hyperlink"/>
    <w:uiPriority w:val="99"/>
    <w:unhideWhenUsed/>
    <w:rsid w:val="002E03C3"/>
    <w:rPr>
      <w:color w:val="0000FF"/>
      <w:u w:val="single"/>
    </w:rPr>
  </w:style>
  <w:style w:type="paragraph" w:styleId="Kommentaremne">
    <w:name w:val="annotation subject"/>
    <w:basedOn w:val="Merknadstekst"/>
    <w:next w:val="Merknadstekst"/>
    <w:link w:val="KommentaremneTegn"/>
    <w:uiPriority w:val="99"/>
    <w:semiHidden/>
    <w:unhideWhenUsed/>
    <w:rsid w:val="002E03C3"/>
    <w:pPr>
      <w:keepLines w:val="0"/>
      <w:widowControl/>
    </w:pPr>
    <w:rPr>
      <w:b/>
      <w:bCs/>
      <w:sz w:val="20"/>
      <w:szCs w:val="20"/>
    </w:rPr>
  </w:style>
  <w:style w:type="character" w:customStyle="1" w:styleId="KommentaremneTegn">
    <w:name w:val="Kommentaremne Tegn"/>
    <w:basedOn w:val="MerknadstekstTegn"/>
    <w:link w:val="Kommentaremne"/>
    <w:uiPriority w:val="99"/>
    <w:semiHidden/>
    <w:rsid w:val="002E03C3"/>
    <w:rPr>
      <w:rFonts w:ascii="Times New Roman" w:eastAsia="Times New Roman" w:hAnsi="Times New Roman" w:cs="Times New Roman"/>
      <w:b/>
      <w:bCs/>
      <w:sz w:val="20"/>
      <w:szCs w:val="20"/>
      <w:lang w:eastAsia="nb-NO"/>
    </w:rPr>
  </w:style>
  <w:style w:type="paragraph" w:styleId="Bobletekst">
    <w:name w:val="Balloon Text"/>
    <w:basedOn w:val="Normal"/>
    <w:link w:val="BobletekstTegn"/>
    <w:uiPriority w:val="99"/>
    <w:semiHidden/>
    <w:unhideWhenUsed/>
    <w:rsid w:val="002E03C3"/>
    <w:pPr>
      <w:spacing w:after="0" w:line="240" w:lineRule="auto"/>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2E03C3"/>
    <w:rPr>
      <w:rFonts w:ascii="Tahoma" w:eastAsia="Times New Roman" w:hAnsi="Tahoma" w:cs="Tahoma"/>
      <w:sz w:val="16"/>
      <w:szCs w:val="16"/>
      <w:lang w:eastAsia="nb-NO"/>
    </w:rPr>
  </w:style>
  <w:style w:type="character" w:styleId="Fulgthyperkobling">
    <w:name w:val="FollowedHyperlink"/>
    <w:uiPriority w:val="99"/>
    <w:semiHidden/>
    <w:unhideWhenUsed/>
    <w:rsid w:val="002E03C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04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84BA8-5C9E-4709-86F3-CE7C29092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1388</Words>
  <Characters>7360</Characters>
  <Application>Microsoft Office Word</Application>
  <DocSecurity>0</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Syversen, Bent J.</dc:creator>
  <cp:lastModifiedBy>Syversen, Bent J.</cp:lastModifiedBy>
  <cp:revision>2</cp:revision>
  <dcterms:created xsi:type="dcterms:W3CDTF">2013-11-22T09:07:00Z</dcterms:created>
  <dcterms:modified xsi:type="dcterms:W3CDTF">2013-11-22T09:07:00Z</dcterms:modified>
</cp:coreProperties>
</file>