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614"/>
        <w:tblW w:w="9816" w:type="dxa"/>
        <w:tblCellMar>
          <w:left w:w="70" w:type="dxa"/>
          <w:right w:w="70" w:type="dxa"/>
        </w:tblCellMar>
        <w:tblLook w:val="0000" w:firstRow="0" w:lastRow="0" w:firstColumn="0" w:lastColumn="0" w:noHBand="0" w:noVBand="0"/>
      </w:tblPr>
      <w:tblGrid>
        <w:gridCol w:w="3898"/>
        <w:gridCol w:w="2268"/>
        <w:gridCol w:w="1984"/>
        <w:gridCol w:w="1666"/>
      </w:tblGrid>
      <w:tr w:rsidR="00570FB8" w:rsidRPr="00CF6BB6" w14:paraId="534B0E8B" w14:textId="77777777" w:rsidTr="00D847CB">
        <w:trPr>
          <w:cantSplit/>
        </w:trPr>
        <w:tc>
          <w:tcPr>
            <w:tcW w:w="3898" w:type="dxa"/>
            <w:vMerge w:val="restart"/>
            <w:vAlign w:val="bottom"/>
          </w:tcPr>
          <w:p w14:paraId="4A05E761" w14:textId="77777777" w:rsidR="00570FB8" w:rsidRPr="00CF6BB6" w:rsidRDefault="00570FB8" w:rsidP="00D847CB">
            <w:pPr>
              <w:spacing w:after="40" w:line="240" w:lineRule="auto"/>
              <w:rPr>
                <w:rFonts w:ascii="NewCenturySchlbk" w:eastAsia="Times New Roman" w:hAnsi="NewCenturySchlbk" w:cs="Times New Roman"/>
                <w:kern w:val="0"/>
                <w:sz w:val="16"/>
                <w:szCs w:val="20"/>
                <w14:ligatures w14:val="none"/>
              </w:rPr>
            </w:pPr>
            <w:r w:rsidRPr="00CF6BB6">
              <w:rPr>
                <w:rFonts w:ascii="NewCenturySchlbk" w:eastAsia="Times New Roman" w:hAnsi="NewCenturySchlbk" w:cs="Times New Roman"/>
                <w:noProof/>
                <w:kern w:val="0"/>
                <w:szCs w:val="20"/>
                <w14:ligatures w14:val="none"/>
              </w:rPr>
              <w:drawing>
                <wp:inline distT="0" distB="0" distL="0" distR="0" wp14:anchorId="46CD111D" wp14:editId="44167002">
                  <wp:extent cx="1971675" cy="285789"/>
                  <wp:effectExtent l="0" t="0" r="0" b="0"/>
                  <wp:docPr id="2" name="Bilde 2" descr="Et bilde som inneholder tekst, Font, skjermbilde, li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Font, skjermbilde, line&#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3813" cy="307841"/>
                          </a:xfrm>
                          <a:prstGeom prst="rect">
                            <a:avLst/>
                          </a:prstGeom>
                          <a:noFill/>
                          <a:ln>
                            <a:noFill/>
                          </a:ln>
                        </pic:spPr>
                      </pic:pic>
                    </a:graphicData>
                  </a:graphic>
                </wp:inline>
              </w:drawing>
            </w:r>
          </w:p>
        </w:tc>
        <w:tc>
          <w:tcPr>
            <w:tcW w:w="2268" w:type="dxa"/>
          </w:tcPr>
          <w:p w14:paraId="5F8A4CC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Saksbehandler</w:t>
            </w:r>
          </w:p>
        </w:tc>
        <w:tc>
          <w:tcPr>
            <w:tcW w:w="1984" w:type="dxa"/>
          </w:tcPr>
          <w:p w14:paraId="57B14923"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Deres dato</w:t>
            </w:r>
          </w:p>
        </w:tc>
        <w:tc>
          <w:tcPr>
            <w:tcW w:w="1666" w:type="dxa"/>
          </w:tcPr>
          <w:p w14:paraId="474F9670"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Vår dato</w:t>
            </w:r>
          </w:p>
        </w:tc>
      </w:tr>
      <w:tr w:rsidR="00570FB8" w:rsidRPr="00CF6BB6" w14:paraId="2A6748A7" w14:textId="77777777" w:rsidTr="00D847CB">
        <w:trPr>
          <w:cantSplit/>
        </w:trPr>
        <w:tc>
          <w:tcPr>
            <w:tcW w:w="3898" w:type="dxa"/>
            <w:vMerge/>
          </w:tcPr>
          <w:p w14:paraId="0179CBC2" w14:textId="77777777" w:rsidR="00570FB8" w:rsidRPr="00CF6BB6" w:rsidRDefault="00570FB8" w:rsidP="00D847CB">
            <w:pPr>
              <w:tabs>
                <w:tab w:val="center" w:pos="4536"/>
                <w:tab w:val="right" w:pos="9072"/>
              </w:tabs>
              <w:spacing w:after="0" w:line="240" w:lineRule="auto"/>
              <w:rPr>
                <w:rFonts w:ascii="ITC Officina Sans Book" w:eastAsia="Times New Roman" w:hAnsi="ITC Officina Sans Book" w:cs="Times New Roman"/>
                <w:noProof/>
                <w:kern w:val="0"/>
                <w:sz w:val="16"/>
                <w:szCs w:val="20"/>
                <w14:ligatures w14:val="none"/>
              </w:rPr>
            </w:pPr>
          </w:p>
        </w:tc>
        <w:tc>
          <w:tcPr>
            <w:tcW w:w="2268" w:type="dxa"/>
            <w:shd w:val="clear" w:color="auto" w:fill="auto"/>
          </w:tcPr>
          <w:p w14:paraId="388A7C1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J</w:t>
            </w:r>
            <w:r>
              <w:rPr>
                <w:rFonts w:ascii="Arial" w:eastAsia="Times New Roman" w:hAnsi="Arial" w:cs="Arial"/>
                <w:noProof/>
                <w:kern w:val="0"/>
                <w:sz w:val="16"/>
                <w:szCs w:val="20"/>
                <w14:ligatures w14:val="none"/>
              </w:rPr>
              <w:t>enny Ählström</w:t>
            </w:r>
            <w:r w:rsidRPr="00CF6BB6">
              <w:rPr>
                <w:rFonts w:ascii="Arial" w:eastAsia="Times New Roman" w:hAnsi="Arial" w:cs="Arial"/>
                <w:noProof/>
                <w:kern w:val="0"/>
                <w:sz w:val="16"/>
                <w:szCs w:val="20"/>
                <w14:ligatures w14:val="none"/>
              </w:rPr>
              <w:t xml:space="preserve"> </w:t>
            </w:r>
          </w:p>
        </w:tc>
        <w:tc>
          <w:tcPr>
            <w:tcW w:w="1984" w:type="dxa"/>
            <w:shd w:val="clear" w:color="auto" w:fill="auto"/>
          </w:tcPr>
          <w:p w14:paraId="33C82593"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c>
          <w:tcPr>
            <w:tcW w:w="1666" w:type="dxa"/>
            <w:shd w:val="clear" w:color="auto" w:fill="auto"/>
          </w:tcPr>
          <w:p w14:paraId="205650D2" w14:textId="77777777" w:rsidR="00570FB8" w:rsidRPr="00CF6BB6" w:rsidRDefault="00570FB8" w:rsidP="00D847CB">
            <w:pPr>
              <w:tabs>
                <w:tab w:val="center" w:pos="4536"/>
                <w:tab w:val="right" w:pos="9072"/>
              </w:tabs>
              <w:spacing w:after="40" w:line="240" w:lineRule="auto"/>
              <w:rPr>
                <w:rFonts w:ascii="ITC Officina Sans Book" w:eastAsia="Times New Roman" w:hAnsi="ITC Officina Sans Book" w:cs="Times New Roman"/>
                <w:kern w:val="0"/>
                <w:sz w:val="16"/>
                <w:szCs w:val="20"/>
                <w14:ligatures w14:val="none"/>
              </w:rPr>
            </w:pPr>
          </w:p>
        </w:tc>
      </w:tr>
      <w:tr w:rsidR="00570FB8" w:rsidRPr="00CF6BB6" w14:paraId="76BF2D70" w14:textId="77777777" w:rsidTr="00D847CB">
        <w:trPr>
          <w:cantSplit/>
        </w:trPr>
        <w:tc>
          <w:tcPr>
            <w:tcW w:w="3898" w:type="dxa"/>
            <w:vMerge/>
          </w:tcPr>
          <w:p w14:paraId="575B09A1" w14:textId="77777777" w:rsidR="00570FB8" w:rsidRPr="00CF6BB6" w:rsidRDefault="00570FB8" w:rsidP="00D847CB">
            <w:pPr>
              <w:tabs>
                <w:tab w:val="center" w:pos="4536"/>
                <w:tab w:val="right" w:pos="9072"/>
              </w:tabs>
              <w:spacing w:after="0" w:line="240" w:lineRule="auto"/>
              <w:rPr>
                <w:rFonts w:ascii="ITC Officina Sans Book" w:eastAsia="Times New Roman" w:hAnsi="ITC Officina Sans Book" w:cs="Times New Roman"/>
                <w:noProof/>
                <w:kern w:val="0"/>
                <w:sz w:val="16"/>
                <w:szCs w:val="20"/>
                <w14:ligatures w14:val="none"/>
              </w:rPr>
            </w:pPr>
          </w:p>
        </w:tc>
        <w:tc>
          <w:tcPr>
            <w:tcW w:w="2268" w:type="dxa"/>
          </w:tcPr>
          <w:p w14:paraId="5A8D52F5"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c>
          <w:tcPr>
            <w:tcW w:w="1984" w:type="dxa"/>
          </w:tcPr>
          <w:p w14:paraId="7AB4694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c>
          <w:tcPr>
            <w:tcW w:w="1666" w:type="dxa"/>
          </w:tcPr>
          <w:p w14:paraId="7638A92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r>
      <w:tr w:rsidR="00570FB8" w:rsidRPr="00CF6BB6" w14:paraId="66A6C7F5" w14:textId="77777777" w:rsidTr="00D847CB">
        <w:trPr>
          <w:cantSplit/>
        </w:trPr>
        <w:tc>
          <w:tcPr>
            <w:tcW w:w="3898" w:type="dxa"/>
          </w:tcPr>
          <w:p w14:paraId="1F3F18E7" w14:textId="77777777" w:rsidR="00570FB8" w:rsidRPr="00CF6BB6" w:rsidRDefault="00570FB8" w:rsidP="00D847CB">
            <w:pPr>
              <w:tabs>
                <w:tab w:val="center" w:pos="4536"/>
                <w:tab w:val="right" w:pos="9072"/>
              </w:tabs>
              <w:spacing w:after="0" w:line="240" w:lineRule="auto"/>
              <w:rPr>
                <w:rFonts w:ascii="Arial" w:eastAsia="Times New Roman" w:hAnsi="Arial" w:cs="Arial"/>
                <w:b/>
                <w:kern w:val="0"/>
                <w:sz w:val="16"/>
                <w:szCs w:val="28"/>
                <w14:ligatures w14:val="none"/>
              </w:rPr>
            </w:pPr>
          </w:p>
        </w:tc>
        <w:tc>
          <w:tcPr>
            <w:tcW w:w="2268" w:type="dxa"/>
          </w:tcPr>
          <w:p w14:paraId="52AB0918"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16"/>
                <w14:ligatures w14:val="none"/>
              </w:rPr>
            </w:pPr>
            <w:r w:rsidRPr="00CF6BB6">
              <w:rPr>
                <w:rFonts w:ascii="Arial" w:eastAsia="Times New Roman" w:hAnsi="Arial" w:cs="Arial"/>
                <w:noProof/>
                <w:kern w:val="0"/>
                <w:sz w:val="16"/>
                <w:szCs w:val="16"/>
                <w14:ligatures w14:val="none"/>
              </w:rPr>
              <w:t>Telefon</w:t>
            </w:r>
            <w:r w:rsidRPr="00CF6BB6">
              <w:rPr>
                <w:rFonts w:ascii="Arial" w:eastAsia="Times New Roman" w:hAnsi="Arial" w:cs="Arial"/>
                <w:noProof/>
                <w:kern w:val="0"/>
                <w:sz w:val="16"/>
                <w:szCs w:val="20"/>
                <w14:ligatures w14:val="none"/>
              </w:rPr>
              <w:br/>
            </w:r>
            <w:r w:rsidRPr="00CF6BB6">
              <w:rPr>
                <w:rFonts w:ascii="Arial" w:eastAsia="Times New Roman" w:hAnsi="Arial" w:cs="Arial"/>
                <w:noProof/>
                <w:kern w:val="0"/>
                <w:sz w:val="16"/>
                <w:szCs w:val="16"/>
                <w14:ligatures w14:val="none"/>
              </w:rPr>
              <w:t xml:space="preserve">+47 </w:t>
            </w:r>
            <w:r>
              <w:rPr>
                <w:rFonts w:ascii="Arial" w:eastAsia="Times New Roman" w:hAnsi="Arial" w:cs="Arial"/>
                <w:noProof/>
                <w:kern w:val="0"/>
                <w:sz w:val="16"/>
                <w:szCs w:val="16"/>
                <w14:ligatures w14:val="none"/>
              </w:rPr>
              <w:t>90580673</w:t>
            </w:r>
          </w:p>
        </w:tc>
        <w:tc>
          <w:tcPr>
            <w:tcW w:w="1984" w:type="dxa"/>
          </w:tcPr>
          <w:p w14:paraId="0688B9E2"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Deres referanse</w:t>
            </w:r>
          </w:p>
        </w:tc>
        <w:tc>
          <w:tcPr>
            <w:tcW w:w="1666" w:type="dxa"/>
          </w:tcPr>
          <w:p w14:paraId="464FD69D"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Vår referanse</w:t>
            </w:r>
          </w:p>
          <w:p w14:paraId="7FE911C2"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r w:rsidRPr="00CF6BB6">
              <w:rPr>
                <w:rFonts w:ascii="Arial" w:eastAsia="Times New Roman" w:hAnsi="Arial" w:cs="Arial"/>
                <w:noProof/>
                <w:kern w:val="0"/>
                <w:sz w:val="16"/>
                <w:szCs w:val="20"/>
                <w14:ligatures w14:val="none"/>
              </w:rPr>
              <w:t>2</w:t>
            </w:r>
            <w:r>
              <w:rPr>
                <w:rFonts w:ascii="Arial" w:eastAsia="Times New Roman" w:hAnsi="Arial" w:cs="Arial"/>
                <w:noProof/>
                <w:kern w:val="0"/>
                <w:sz w:val="16"/>
                <w:szCs w:val="20"/>
                <w14:ligatures w14:val="none"/>
              </w:rPr>
              <w:t>5/33</w:t>
            </w:r>
          </w:p>
          <w:p w14:paraId="2B5B3FAE" w14:textId="77777777" w:rsidR="00570FB8" w:rsidRPr="00CF6BB6" w:rsidRDefault="00570FB8" w:rsidP="00D847CB">
            <w:pPr>
              <w:tabs>
                <w:tab w:val="center" w:pos="4536"/>
                <w:tab w:val="right" w:pos="9072"/>
              </w:tabs>
              <w:spacing w:after="40" w:line="240" w:lineRule="auto"/>
              <w:rPr>
                <w:rFonts w:ascii="Arial" w:eastAsia="Times New Roman" w:hAnsi="Arial" w:cs="Arial"/>
                <w:noProof/>
                <w:kern w:val="0"/>
                <w:sz w:val="16"/>
                <w:szCs w:val="20"/>
                <w14:ligatures w14:val="none"/>
              </w:rPr>
            </w:pPr>
          </w:p>
        </w:tc>
      </w:tr>
    </w:tbl>
    <w:p w14:paraId="2751E25D" w14:textId="77777777" w:rsidR="00570FB8" w:rsidRPr="00CF6BB6" w:rsidRDefault="00570FB8" w:rsidP="00570FB8">
      <w:pPr>
        <w:spacing w:after="0" w:line="240" w:lineRule="auto"/>
        <w:rPr>
          <w:rFonts w:ascii="NewCenturySchlbk" w:eastAsia="Times New Roman" w:hAnsi="NewCenturySchlbk" w:cs="Times New Roman"/>
          <w:kern w:val="0"/>
          <w:szCs w:val="20"/>
          <w14:ligatures w14:val="none"/>
        </w:rPr>
      </w:pPr>
    </w:p>
    <w:p w14:paraId="0B65D3E5" w14:textId="77777777" w:rsidR="00570FB8" w:rsidRPr="00376301" w:rsidRDefault="00570FB8" w:rsidP="00570FB8">
      <w:pPr>
        <w:pStyle w:val="Overskrift1"/>
      </w:pPr>
      <w:r>
        <w:t>Høring om kontraktsvilkår, krav og kriterier for bærekraftige leverandørkjeder</w:t>
      </w:r>
    </w:p>
    <w:p w14:paraId="5C7E9DF4" w14:textId="77777777" w:rsidR="00570FB8" w:rsidRDefault="00570FB8" w:rsidP="00570FB8"/>
    <w:p w14:paraId="007E8877" w14:textId="25A01CE4" w:rsidR="00570FB8" w:rsidRPr="005159A6" w:rsidRDefault="00570FB8" w:rsidP="00570FB8">
      <w:pPr>
        <w:rPr>
          <w:sz w:val="22"/>
        </w:rPr>
      </w:pPr>
      <w:r w:rsidRPr="005159A6">
        <w:rPr>
          <w:sz w:val="22"/>
        </w:rPr>
        <w:t>Direktoratet for forvaltning og økonomistyring (DFØ) og Etisk handel Norge (EHN) ønsker innspill og tilbakemelding</w:t>
      </w:r>
      <w:r w:rsidR="00F8568D">
        <w:rPr>
          <w:sz w:val="22"/>
        </w:rPr>
        <w:t>er</w:t>
      </w:r>
      <w:r w:rsidRPr="005159A6">
        <w:rPr>
          <w:sz w:val="22"/>
        </w:rPr>
        <w:t xml:space="preserve"> på forslag til standardformulerte kontraktsvilkår, krav og kriterier for å fremme grunnleggende menneskerettigheter ved anskaffelser av høyrisikoprodukter</w:t>
      </w:r>
      <w:r>
        <w:rPr>
          <w:sz w:val="22"/>
        </w:rPr>
        <w:t xml:space="preserve"> i henhold til LOA §5</w:t>
      </w:r>
      <w:r w:rsidRPr="005159A6">
        <w:rPr>
          <w:sz w:val="22"/>
        </w:rPr>
        <w:t xml:space="preserve">. </w:t>
      </w:r>
    </w:p>
    <w:p w14:paraId="1145E326" w14:textId="77777777" w:rsidR="00570FB8" w:rsidRPr="005159A6" w:rsidRDefault="00570FB8" w:rsidP="00570FB8">
      <w:pPr>
        <w:rPr>
          <w:sz w:val="22"/>
        </w:rPr>
      </w:pPr>
      <w:r w:rsidRPr="005159A6">
        <w:rPr>
          <w:sz w:val="22"/>
        </w:rPr>
        <w:t>Høringsdokumentet består av en oppdatert versjon av et felles kontraktsvilkår for bærekraftige leverandørkjeder</w:t>
      </w:r>
      <w:r>
        <w:rPr>
          <w:sz w:val="22"/>
        </w:rPr>
        <w:t xml:space="preserve">, </w:t>
      </w:r>
      <w:r w:rsidRPr="005159A6">
        <w:rPr>
          <w:sz w:val="22"/>
        </w:rPr>
        <w:t xml:space="preserve">forslag til </w:t>
      </w:r>
      <w:r>
        <w:rPr>
          <w:sz w:val="22"/>
        </w:rPr>
        <w:t>kravspesifikasjon, kvalifikasjonskrav og tildelingskriterium.</w:t>
      </w:r>
    </w:p>
    <w:p w14:paraId="4127D8D6" w14:textId="77777777" w:rsidR="00570FB8" w:rsidRDefault="00570FB8" w:rsidP="00570FB8">
      <w:pPr>
        <w:rPr>
          <w:sz w:val="22"/>
        </w:rPr>
      </w:pPr>
      <w:r w:rsidRPr="005159A6">
        <w:rPr>
          <w:sz w:val="22"/>
        </w:rPr>
        <w:t xml:space="preserve">Vi ønsker innspill på formuleringer, dokumentasjonskrav og brukervennlighet. I tillegg ønsker vi innspill på i hvilken grad leverandørmarkedet opplever at de kan oppfylle og dokumentere kravene og kriteriene. </w:t>
      </w:r>
    </w:p>
    <w:p w14:paraId="30B65948" w14:textId="77777777" w:rsidR="00570FB8" w:rsidRPr="00376301" w:rsidRDefault="00570FB8" w:rsidP="00570FB8">
      <w:r w:rsidRPr="00376301">
        <w:t xml:space="preserve">  </w:t>
      </w:r>
    </w:p>
    <w:p w14:paraId="5E8BDE8B" w14:textId="07348BA7" w:rsidR="00570FB8" w:rsidRDefault="00570FB8" w:rsidP="00570FB8">
      <w:pPr>
        <w:pStyle w:val="Overskrift2"/>
      </w:pPr>
      <w:r w:rsidRPr="00376301">
        <w:t>Slik gir du innspi</w:t>
      </w:r>
      <w:r>
        <w:t>ll</w:t>
      </w:r>
      <w:r w:rsidR="00D847CB">
        <w:t>:</w:t>
      </w:r>
    </w:p>
    <w:p w14:paraId="36E56DF6" w14:textId="77777777" w:rsidR="00570FB8" w:rsidRPr="00646F09" w:rsidRDefault="00570FB8" w:rsidP="00570FB8"/>
    <w:p w14:paraId="1AB84CB0" w14:textId="6BA3DAA4" w:rsidR="00570FB8" w:rsidRPr="005159A6" w:rsidRDefault="00570FB8" w:rsidP="00570FB8">
      <w:pPr>
        <w:rPr>
          <w:sz w:val="22"/>
        </w:rPr>
      </w:pPr>
      <w:r w:rsidRPr="005159A6">
        <w:rPr>
          <w:sz w:val="22"/>
        </w:rPr>
        <w:t>Det bes om innspill og svar på spørsmål i et eget dokument i Word-format</w:t>
      </w:r>
      <w:r>
        <w:rPr>
          <w:sz w:val="22"/>
        </w:rPr>
        <w:t xml:space="preserve">. Dokumentet skal navngis </w:t>
      </w:r>
      <w:r w:rsidRPr="005159A6">
        <w:rPr>
          <w:sz w:val="22"/>
        </w:rPr>
        <w:t xml:space="preserve">«Svar på høring 25/33». </w:t>
      </w:r>
      <w:r>
        <w:rPr>
          <w:sz w:val="22"/>
        </w:rPr>
        <w:t xml:space="preserve">Bruk rubrikker i dokumentet som samsvarer med </w:t>
      </w:r>
      <w:r w:rsidR="00667BCC">
        <w:rPr>
          <w:sz w:val="22"/>
        </w:rPr>
        <w:t xml:space="preserve">rubrikkene for </w:t>
      </w:r>
      <w:r>
        <w:rPr>
          <w:sz w:val="22"/>
        </w:rPr>
        <w:t>kontraktsvilkårene, kravene og kriteriene i høringsbrevet. Generelle innspill skrives som innledning til høringsbrevet.</w:t>
      </w:r>
    </w:p>
    <w:p w14:paraId="2B62B901" w14:textId="77777777" w:rsidR="00570FB8" w:rsidRPr="005159A6" w:rsidRDefault="00570FB8" w:rsidP="00570FB8">
      <w:pPr>
        <w:rPr>
          <w:sz w:val="22"/>
        </w:rPr>
      </w:pPr>
      <w:r w:rsidRPr="005159A6">
        <w:rPr>
          <w:sz w:val="22"/>
        </w:rPr>
        <w:t xml:space="preserve">Dokumentet skal sendes til </w:t>
      </w:r>
      <w:hyperlink r:id="rId12" w:history="1">
        <w:r w:rsidRPr="005159A6">
          <w:rPr>
            <w:rStyle w:val="Hyperkobling"/>
            <w:sz w:val="22"/>
          </w:rPr>
          <w:t>postmottak@dfo.no</w:t>
        </w:r>
      </w:hyperlink>
      <w:r w:rsidRPr="005159A6">
        <w:rPr>
          <w:sz w:val="22"/>
        </w:rPr>
        <w:t xml:space="preserve">. E-posten med høringssvar bes merket med «25/33 Høringsinnspill - krav og kriterier for bærekraftige leverandørkjeder». Det oppfordres til å bruke </w:t>
      </w:r>
      <w:hyperlink r:id="rId13">
        <w:r w:rsidRPr="005159A6">
          <w:rPr>
            <w:rStyle w:val="Hyperkobling"/>
            <w:sz w:val="22"/>
          </w:rPr>
          <w:t>eFormidling</w:t>
        </w:r>
      </w:hyperlink>
      <w:r w:rsidRPr="005159A6">
        <w:rPr>
          <w:sz w:val="22"/>
        </w:rPr>
        <w:t xml:space="preserve"> for innsending. </w:t>
      </w:r>
    </w:p>
    <w:p w14:paraId="056036A1" w14:textId="0CD0C117" w:rsidR="00570FB8" w:rsidRPr="005159A6" w:rsidRDefault="00570FB8" w:rsidP="00570FB8">
      <w:pPr>
        <w:rPr>
          <w:sz w:val="22"/>
        </w:rPr>
      </w:pPr>
      <w:r w:rsidRPr="005159A6">
        <w:rPr>
          <w:sz w:val="22"/>
        </w:rPr>
        <w:t xml:space="preserve">Fristen for å gi innspill </w:t>
      </w:r>
      <w:r w:rsidR="000B732E">
        <w:rPr>
          <w:sz w:val="22"/>
        </w:rPr>
        <w:t>3</w:t>
      </w:r>
      <w:r w:rsidRPr="005159A6">
        <w:rPr>
          <w:sz w:val="22"/>
        </w:rPr>
        <w:t>.</w:t>
      </w:r>
      <w:r w:rsidR="000B732E">
        <w:rPr>
          <w:sz w:val="22"/>
        </w:rPr>
        <w:t xml:space="preserve"> juni</w:t>
      </w:r>
      <w:r w:rsidRPr="005159A6">
        <w:rPr>
          <w:sz w:val="22"/>
        </w:rPr>
        <w:t xml:space="preserve"> 2025. </w:t>
      </w:r>
    </w:p>
    <w:p w14:paraId="571C7B1B" w14:textId="732E4896" w:rsidR="00570FB8" w:rsidRPr="005159A6" w:rsidRDefault="00570FB8" w:rsidP="00570FB8">
      <w:pPr>
        <w:rPr>
          <w:sz w:val="22"/>
        </w:rPr>
      </w:pPr>
      <w:r w:rsidRPr="005159A6">
        <w:rPr>
          <w:sz w:val="22"/>
        </w:rPr>
        <w:t xml:space="preserve">Send en e-post til </w:t>
      </w:r>
      <w:hyperlink r:id="rId14" w:history="1">
        <w:r w:rsidR="00AD17BC" w:rsidRPr="00A4451D">
          <w:rPr>
            <w:rStyle w:val="Hyperkobling"/>
            <w:sz w:val="22"/>
          </w:rPr>
          <w:t>jenny.ahlstrom@dfo.no</w:t>
        </w:r>
      </w:hyperlink>
      <w:r w:rsidRPr="005159A6">
        <w:rPr>
          <w:sz w:val="22"/>
        </w:rPr>
        <w:t xml:space="preserve"> eller </w:t>
      </w:r>
      <w:hyperlink r:id="rId15" w:history="1">
        <w:r w:rsidRPr="005159A6">
          <w:rPr>
            <w:rStyle w:val="Hyperkobling"/>
            <w:sz w:val="22"/>
          </w:rPr>
          <w:t>jonas@etiskhandel.no</w:t>
        </w:r>
      </w:hyperlink>
      <w:r w:rsidRPr="005159A6">
        <w:rPr>
          <w:sz w:val="22"/>
        </w:rPr>
        <w:t xml:space="preserve"> om du har spørsmål i forbindelse med høringen.</w:t>
      </w:r>
    </w:p>
    <w:p w14:paraId="7AAB929F" w14:textId="77777777" w:rsidR="00570FB8" w:rsidRPr="00376301" w:rsidRDefault="00570FB8" w:rsidP="00570FB8"/>
    <w:p w14:paraId="2324D978" w14:textId="77777777" w:rsidR="00570FB8" w:rsidRPr="00376301" w:rsidRDefault="00570FB8" w:rsidP="00570FB8">
      <w:r w:rsidRPr="00376301">
        <w:t xml:space="preserve"> </w:t>
      </w:r>
    </w:p>
    <w:p w14:paraId="57B7A63C" w14:textId="77777777" w:rsidR="00570FB8" w:rsidRDefault="00570FB8" w:rsidP="00570FB8"/>
    <w:p w14:paraId="3B713D3D" w14:textId="77777777" w:rsidR="00570FB8" w:rsidRPr="00376301" w:rsidRDefault="00570FB8" w:rsidP="00570FB8">
      <w:r w:rsidRPr="00376301">
        <w:br w:type="page"/>
      </w:r>
    </w:p>
    <w:p w14:paraId="02472727" w14:textId="77777777" w:rsidR="00570FB8" w:rsidRPr="00376301" w:rsidRDefault="00570FB8" w:rsidP="00570FB8">
      <w:pPr>
        <w:pStyle w:val="Overskrift2"/>
      </w:pPr>
      <w:r>
        <w:lastRenderedPageBreak/>
        <w:t xml:space="preserve">Bakgrunn: </w:t>
      </w:r>
    </w:p>
    <w:p w14:paraId="7EB5BC69" w14:textId="77777777" w:rsidR="00570FB8" w:rsidRDefault="00570FB8" w:rsidP="00570FB8">
      <w:pPr>
        <w:rPr>
          <w:sz w:val="22"/>
        </w:rPr>
      </w:pPr>
      <w:r w:rsidRPr="00743C37">
        <w:rPr>
          <w:sz w:val="22"/>
        </w:rPr>
        <w:t xml:space="preserve">DFØs divisjon for offentlig anskaffelser (ANS) i DFØ er statens strategiske fagorgan som ser helhetlig på anskaffelser i forvaltningen. DFØs oppgave er å systematisere, analysere og formidle kunnskap, og å være en aktiv pådriver for endring og fornyelse. DFØ skal bidra til at offentlig sektor gjennomfører effektive og innovative anskaffelser som bidrar til grønn omstilling og bærekraftig utvikling. </w:t>
      </w:r>
    </w:p>
    <w:p w14:paraId="1D09FFA9" w14:textId="77777777" w:rsidR="00570FB8" w:rsidRDefault="00570FB8" w:rsidP="00570FB8">
      <w:pPr>
        <w:rPr>
          <w:sz w:val="22"/>
        </w:rPr>
      </w:pPr>
      <w:r w:rsidRPr="00743C37">
        <w:rPr>
          <w:sz w:val="22"/>
        </w:rPr>
        <w:t>Etisk handel Norge er en medlemsorganisasjon og et ressurssenter for bærekraftig handel. Etisk handel Norges formål er å fremme ansvarlig forretningspraksis i leverandørkjeder slik at handel bidrar til å ivareta menneske- og arbeidstakerrettigheter, samfunn og miljø. Etisk handel Norge støtter medlemmer i privat og offentlig sektor i å gjennomføre aktsomhetsvurderinger og arbeid med bærekraftige leverandørkjeder.</w:t>
      </w:r>
    </w:p>
    <w:p w14:paraId="23A1B603" w14:textId="77777777" w:rsidR="00570FB8" w:rsidRPr="00356641" w:rsidRDefault="00570FB8" w:rsidP="00570FB8">
      <w:pPr>
        <w:pStyle w:val="Overskrift2"/>
      </w:pPr>
    </w:p>
    <w:p w14:paraId="0DD04CBC" w14:textId="77777777" w:rsidR="00570FB8" w:rsidRPr="00356641" w:rsidRDefault="00570FB8" w:rsidP="00570FB8">
      <w:pPr>
        <w:pStyle w:val="Overskrift2"/>
      </w:pPr>
      <w:r>
        <w:t>Rutiner for å fremme menneskerettigheter - e</w:t>
      </w:r>
      <w:r w:rsidRPr="00356641">
        <w:t>t lovpålagt ansvar</w:t>
      </w:r>
    </w:p>
    <w:p w14:paraId="0B1C9241" w14:textId="77777777" w:rsidR="00570FB8" w:rsidRDefault="00570FB8" w:rsidP="00570FB8">
      <w:pPr>
        <w:rPr>
          <w:sz w:val="22"/>
        </w:rPr>
      </w:pPr>
      <w:r>
        <w:rPr>
          <w:sz w:val="22"/>
        </w:rPr>
        <w:t xml:space="preserve">Offentlige oppdragsgivere plikter å </w:t>
      </w:r>
      <w:r w:rsidRPr="00A3730C">
        <w:rPr>
          <w:sz w:val="22"/>
        </w:rPr>
        <w:t>ha</w:t>
      </w:r>
      <w:r w:rsidRPr="002A4E5E">
        <w:t xml:space="preserve"> </w:t>
      </w:r>
      <w:r w:rsidRPr="002A4E5E">
        <w:rPr>
          <w:sz w:val="22"/>
        </w:rPr>
        <w:t>egnede rutiner for å fremme respekt for grunnleggende menneskerettigheter ved offentlige anskaffelser der det er</w:t>
      </w:r>
      <w:r>
        <w:rPr>
          <w:sz w:val="22"/>
        </w:rPr>
        <w:t xml:space="preserve"> </w:t>
      </w:r>
      <w:r w:rsidRPr="002A4E5E">
        <w:rPr>
          <w:sz w:val="22"/>
        </w:rPr>
        <w:t>risiko for brudd på slike rettigheter.</w:t>
      </w:r>
      <w:r>
        <w:rPr>
          <w:sz w:val="22"/>
        </w:rPr>
        <w:t xml:space="preserve"> En slik anbefalt rutine er å bruke krav, kriterier og kontraktsvilkår ved anskaffelser av produkter og tjenester der det foreligger høy risiko for brudd på grunnleggende menneskerettigheter i leverandørkjeden.</w:t>
      </w:r>
    </w:p>
    <w:p w14:paraId="622385CD" w14:textId="77777777" w:rsidR="00570FB8" w:rsidRDefault="00570FB8" w:rsidP="00570FB8">
      <w:pPr>
        <w:rPr>
          <w:sz w:val="22"/>
        </w:rPr>
      </w:pPr>
    </w:p>
    <w:p w14:paraId="07D1008A" w14:textId="77777777" w:rsidR="00570FB8" w:rsidRDefault="00570FB8" w:rsidP="00570FB8">
      <w:pPr>
        <w:pStyle w:val="Overskrift3"/>
      </w:pPr>
      <w:r>
        <w:t>Oppdatering av kontraktsvilkårene</w:t>
      </w:r>
    </w:p>
    <w:p w14:paraId="780E534B" w14:textId="77777777" w:rsidR="00570FB8" w:rsidRDefault="00570FB8" w:rsidP="00570FB8">
      <w:pPr>
        <w:rPr>
          <w:sz w:val="22"/>
        </w:rPr>
      </w:pPr>
      <w:r w:rsidRPr="00A3730C">
        <w:rPr>
          <w:sz w:val="22"/>
        </w:rPr>
        <w:t xml:space="preserve">DFØ </w:t>
      </w:r>
      <w:r>
        <w:rPr>
          <w:sz w:val="22"/>
        </w:rPr>
        <w:t xml:space="preserve">og </w:t>
      </w:r>
      <w:r w:rsidRPr="00A3730C">
        <w:rPr>
          <w:sz w:val="22"/>
        </w:rPr>
        <w:t xml:space="preserve">Etisk </w:t>
      </w:r>
      <w:r>
        <w:rPr>
          <w:sz w:val="22"/>
        </w:rPr>
        <w:t>h</w:t>
      </w:r>
      <w:r w:rsidRPr="00A3730C">
        <w:rPr>
          <w:sz w:val="22"/>
        </w:rPr>
        <w:t>andel Norge</w:t>
      </w:r>
      <w:r>
        <w:rPr>
          <w:sz w:val="22"/>
        </w:rPr>
        <w:t xml:space="preserve"> har felles kontraktsvilkår </w:t>
      </w:r>
      <w:r w:rsidRPr="00A3730C">
        <w:rPr>
          <w:sz w:val="22"/>
        </w:rPr>
        <w:t xml:space="preserve">som </w:t>
      </w:r>
      <w:r>
        <w:rPr>
          <w:sz w:val="22"/>
        </w:rPr>
        <w:t>er anbefalt å bruke</w:t>
      </w:r>
      <w:r w:rsidRPr="00E6711A">
        <w:rPr>
          <w:sz w:val="22"/>
        </w:rPr>
        <w:t xml:space="preserve"> </w:t>
      </w:r>
      <w:r>
        <w:rPr>
          <w:sz w:val="22"/>
        </w:rPr>
        <w:t>ved anskaffelser av produkter og tjenester der det foreligger høy risiko for brudd på grunnleggende menneskerettigheter i leverandørkjeden.</w:t>
      </w:r>
      <w:r w:rsidRPr="00A3730C">
        <w:rPr>
          <w:sz w:val="22"/>
        </w:rPr>
        <w:t xml:space="preserve"> Kontraktsvilkåre</w:t>
      </w:r>
      <w:r>
        <w:rPr>
          <w:sz w:val="22"/>
        </w:rPr>
        <w:t xml:space="preserve">ne innebærer at </w:t>
      </w:r>
      <w:r w:rsidRPr="00A3730C">
        <w:rPr>
          <w:sz w:val="22"/>
        </w:rPr>
        <w:t>leverandøre</w:t>
      </w:r>
      <w:r>
        <w:rPr>
          <w:sz w:val="22"/>
        </w:rPr>
        <w:t xml:space="preserve">r skal </w:t>
      </w:r>
      <w:r w:rsidRPr="002759CE">
        <w:rPr>
          <w:sz w:val="22"/>
        </w:rPr>
        <w:t>etterleve føringene i FNs Verdenserklæring om menneskerettigheter, FNs veiledende prinsipper for næringsliv og menneskerettigheter (UNGP), OECDs retningslinjer for flernasjonale selskaper om ansvarlig næringsliv og åpenhetsloven</w:t>
      </w:r>
      <w:r>
        <w:rPr>
          <w:sz w:val="22"/>
        </w:rPr>
        <w:t xml:space="preserve"> ved å utføre aktsomhetsvurderinger.</w:t>
      </w:r>
    </w:p>
    <w:p w14:paraId="589E680B" w14:textId="77777777" w:rsidR="00570FB8" w:rsidRDefault="00570FB8" w:rsidP="00570FB8">
      <w:pPr>
        <w:rPr>
          <w:sz w:val="22"/>
        </w:rPr>
      </w:pPr>
      <w:r w:rsidRPr="00146857">
        <w:rPr>
          <w:sz w:val="22"/>
        </w:rPr>
        <w:t xml:space="preserve">Det er viktig å merke seg at bruk av anbefalte kontraktsvilkår, krav og kriterier for bærekraftige leverandørkjeder skal følge prinsippet om proporsjonalitet. Det vil si at høyere forventninger stilles til store leverandører. Dette </w:t>
      </w:r>
      <w:r>
        <w:rPr>
          <w:sz w:val="22"/>
        </w:rPr>
        <w:t xml:space="preserve">er presisert </w:t>
      </w:r>
      <w:r w:rsidRPr="00146857">
        <w:rPr>
          <w:sz w:val="22"/>
        </w:rPr>
        <w:t>i de oppdaterte kontraktsvilkårene ved å betone at aktsomhetsvurderinger skal stå i forhold til virksomhetens størrelse.</w:t>
      </w:r>
      <w:r>
        <w:rPr>
          <w:sz w:val="22"/>
        </w:rPr>
        <w:t xml:space="preserve"> Det er videre presisert at d</w:t>
      </w:r>
      <w:r w:rsidRPr="003A6F1E">
        <w:rPr>
          <w:sz w:val="22"/>
        </w:rPr>
        <w:t xml:space="preserve">en primære arbeidsmetoden </w:t>
      </w:r>
      <w:r>
        <w:rPr>
          <w:sz w:val="22"/>
        </w:rPr>
        <w:t xml:space="preserve">ved etterprøving av kontraktsvilkårene skal være </w:t>
      </w:r>
      <w:r w:rsidRPr="003A6F1E">
        <w:rPr>
          <w:sz w:val="22"/>
        </w:rPr>
        <w:t>veiledning og dialog med leverandør</w:t>
      </w:r>
      <w:r>
        <w:rPr>
          <w:sz w:val="22"/>
        </w:rPr>
        <w:t>en</w:t>
      </w:r>
      <w:r w:rsidRPr="003A6F1E">
        <w:rPr>
          <w:sz w:val="22"/>
        </w:rPr>
        <w:t xml:space="preserve">. Oppdragsgiver vil likevel kunne sanksjonere omfattende og </w:t>
      </w:r>
      <w:r>
        <w:rPr>
          <w:sz w:val="22"/>
        </w:rPr>
        <w:t xml:space="preserve">alvorlige </w:t>
      </w:r>
      <w:r w:rsidRPr="003A6F1E">
        <w:rPr>
          <w:sz w:val="22"/>
        </w:rPr>
        <w:t xml:space="preserve">brudd </w:t>
      </w:r>
      <w:r>
        <w:rPr>
          <w:sz w:val="22"/>
        </w:rPr>
        <w:t>som blir oppdaget</w:t>
      </w:r>
      <w:r w:rsidRPr="003A6F1E">
        <w:rPr>
          <w:sz w:val="22"/>
        </w:rPr>
        <w:t>.</w:t>
      </w:r>
    </w:p>
    <w:p w14:paraId="500A5B51" w14:textId="5328F38D" w:rsidR="00570FB8" w:rsidRDefault="00570FB8" w:rsidP="00570FB8">
      <w:pPr>
        <w:rPr>
          <w:rFonts w:eastAsiaTheme="minorEastAsia"/>
          <w:sz w:val="22"/>
        </w:rPr>
      </w:pPr>
      <w:r>
        <w:rPr>
          <w:sz w:val="22"/>
        </w:rPr>
        <w:t>I den oppdaterte versjonen av kontraktsvilkårene er</w:t>
      </w:r>
      <w:r w:rsidRPr="002759CE">
        <w:rPr>
          <w:sz w:val="22"/>
        </w:rPr>
        <w:t xml:space="preserve"> </w:t>
      </w:r>
      <w:r>
        <w:rPr>
          <w:sz w:val="22"/>
        </w:rPr>
        <w:t xml:space="preserve">det blant annet gjort en </w:t>
      </w:r>
      <w:r w:rsidRPr="002759CE">
        <w:rPr>
          <w:sz w:val="22"/>
        </w:rPr>
        <w:t>spesifisering av de underliggende konvensjoner relevante i forhold til produksjon av varer og tjenester med høy risiko for brudd på grunnleggende menneskerettigheter.</w:t>
      </w:r>
      <w:r>
        <w:rPr>
          <w:sz w:val="22"/>
        </w:rPr>
        <w:t xml:space="preserve"> </w:t>
      </w:r>
      <w:r w:rsidRPr="00B25899">
        <w:rPr>
          <w:rFonts w:eastAsiaTheme="minorEastAsia"/>
          <w:sz w:val="22"/>
        </w:rPr>
        <w:t xml:space="preserve">Dette gjelder både i forhold til miljø, natur </w:t>
      </w:r>
      <w:r w:rsidRPr="19D8AC74">
        <w:rPr>
          <w:rFonts w:eastAsiaTheme="minorEastAsia"/>
          <w:sz w:val="22"/>
        </w:rPr>
        <w:t>og forurens</w:t>
      </w:r>
      <w:r>
        <w:rPr>
          <w:rFonts w:eastAsiaTheme="minorEastAsia"/>
          <w:sz w:val="22"/>
        </w:rPr>
        <w:t>n</w:t>
      </w:r>
      <w:r w:rsidRPr="19D8AC74">
        <w:rPr>
          <w:rFonts w:eastAsiaTheme="minorEastAsia"/>
          <w:sz w:val="22"/>
        </w:rPr>
        <w:t>ing, og ved</w:t>
      </w:r>
      <w:r w:rsidRPr="00B25899">
        <w:rPr>
          <w:rFonts w:eastAsiaTheme="minorEastAsia"/>
          <w:sz w:val="22"/>
        </w:rPr>
        <w:t xml:space="preserve"> produksjon i land og regioner med </w:t>
      </w:r>
      <w:r>
        <w:rPr>
          <w:rFonts w:eastAsiaTheme="minorEastAsia"/>
          <w:sz w:val="22"/>
        </w:rPr>
        <w:t xml:space="preserve">høy </w:t>
      </w:r>
      <w:r w:rsidRPr="19D8AC74">
        <w:rPr>
          <w:rFonts w:eastAsiaTheme="minorEastAsia"/>
          <w:sz w:val="22"/>
        </w:rPr>
        <w:t>korrupsjon</w:t>
      </w:r>
      <w:r>
        <w:rPr>
          <w:rFonts w:eastAsiaTheme="minorEastAsia"/>
          <w:sz w:val="22"/>
        </w:rPr>
        <w:t>srisiko</w:t>
      </w:r>
      <w:r w:rsidRPr="19D8AC74">
        <w:rPr>
          <w:rFonts w:eastAsiaTheme="minorEastAsia"/>
          <w:sz w:val="22"/>
        </w:rPr>
        <w:t>.</w:t>
      </w:r>
      <w:r w:rsidRPr="00B25899">
        <w:rPr>
          <w:rFonts w:eastAsiaTheme="minorEastAsia"/>
          <w:sz w:val="22"/>
        </w:rPr>
        <w:t xml:space="preserve"> </w:t>
      </w:r>
    </w:p>
    <w:p w14:paraId="385E0CCA" w14:textId="4A473322" w:rsidR="00570FB8" w:rsidRPr="00B25899" w:rsidRDefault="00570FB8" w:rsidP="00570FB8">
      <w:pPr>
        <w:rPr>
          <w:rFonts w:eastAsiaTheme="minorEastAsia"/>
          <w:sz w:val="22"/>
        </w:rPr>
      </w:pPr>
      <w:r>
        <w:rPr>
          <w:rFonts w:eastAsiaTheme="minorEastAsia"/>
          <w:sz w:val="22"/>
        </w:rPr>
        <w:t xml:space="preserve">For å tydeliggjøre hva som skal inngå i Punkt 1 a.-f. er det lagt inn underpunkter </w:t>
      </w:r>
      <w:r w:rsidR="001178B1">
        <w:rPr>
          <w:rFonts w:eastAsiaTheme="minorEastAsia"/>
          <w:sz w:val="22"/>
        </w:rPr>
        <w:t xml:space="preserve">for 1 a. og 1 c. </w:t>
      </w:r>
    </w:p>
    <w:p w14:paraId="05634781" w14:textId="77777777" w:rsidR="00570FB8" w:rsidRDefault="00570FB8" w:rsidP="00570FB8">
      <w:pPr>
        <w:rPr>
          <w:sz w:val="22"/>
        </w:rPr>
      </w:pPr>
      <w:r w:rsidRPr="00593F8E">
        <w:rPr>
          <w:sz w:val="22"/>
        </w:rPr>
        <w:t xml:space="preserve">På grunn av risikoen for alvorlige brudd på grunnleggende menneskerettigheter som kan skje </w:t>
      </w:r>
      <w:r>
        <w:rPr>
          <w:sz w:val="22"/>
        </w:rPr>
        <w:t xml:space="preserve">allerede </w:t>
      </w:r>
      <w:r w:rsidRPr="00593F8E">
        <w:rPr>
          <w:sz w:val="22"/>
        </w:rPr>
        <w:t xml:space="preserve">fra starten av avtaleperioden, skal alle leverandører ha en redegjørelse for </w:t>
      </w:r>
      <w:r w:rsidRPr="00593F8E">
        <w:rPr>
          <w:sz w:val="22"/>
        </w:rPr>
        <w:lastRenderedPageBreak/>
        <w:t>aktsomhetsvurderinger på plass ved kontraktsinngåelse.</w:t>
      </w:r>
      <w:r>
        <w:rPr>
          <w:sz w:val="22"/>
        </w:rPr>
        <w:t xml:space="preserve"> Fristen på seks måneder er derfor fjernet.</w:t>
      </w:r>
    </w:p>
    <w:p w14:paraId="4CBACA59" w14:textId="5A3BCFF3" w:rsidR="00570FB8" w:rsidRDefault="00D2797F" w:rsidP="00570FB8">
      <w:pPr>
        <w:rPr>
          <w:sz w:val="22"/>
        </w:rPr>
      </w:pPr>
      <w:r w:rsidRPr="00D2797F">
        <w:rPr>
          <w:sz w:val="22"/>
        </w:rPr>
        <w:t>Det er innført en mulighet til å pålegge leverandører som ikke etterlever kontraktsvilkår, dagbøter når dette vurderes som en proporsjonal sanksjon.</w:t>
      </w:r>
      <w:r w:rsidR="005B632B">
        <w:rPr>
          <w:sz w:val="22"/>
        </w:rPr>
        <w:t xml:space="preserve"> </w:t>
      </w:r>
      <w:r w:rsidR="00570FB8" w:rsidRPr="00146857">
        <w:rPr>
          <w:sz w:val="22"/>
        </w:rPr>
        <w:t xml:space="preserve">Økt </w:t>
      </w:r>
      <w:proofErr w:type="gramStart"/>
      <w:r w:rsidR="00570FB8" w:rsidRPr="00146857">
        <w:rPr>
          <w:sz w:val="22"/>
        </w:rPr>
        <w:t>fokus</w:t>
      </w:r>
      <w:proofErr w:type="gramEnd"/>
      <w:r w:rsidR="00570FB8" w:rsidRPr="00146857">
        <w:rPr>
          <w:sz w:val="22"/>
        </w:rPr>
        <w:t xml:space="preserve"> på ivaretakelse av beredskap og sikkerhetshensyn er begrunnelsen for denne alternative sanksjonsmuligheten. En dagbot vil i mindre grad påvirke oppdragsgivers forsyning enn midlertidig stans av leveransen eller bytte av underleverandør. Her må oppdragsgiver selv ta stilling til størrelsen på dagboten. </w:t>
      </w:r>
    </w:p>
    <w:p w14:paraId="34F191CC" w14:textId="77777777" w:rsidR="00570FB8" w:rsidRDefault="00570FB8" w:rsidP="00570FB8">
      <w:pPr>
        <w:rPr>
          <w:sz w:val="22"/>
        </w:rPr>
      </w:pPr>
    </w:p>
    <w:p w14:paraId="3273144E" w14:textId="77777777" w:rsidR="00570FB8" w:rsidRDefault="00570FB8" w:rsidP="00570FB8">
      <w:pPr>
        <w:pStyle w:val="Overskrift3"/>
      </w:pPr>
      <w:r>
        <w:t>Beredskap og sikkerhet – bærekraftige leverandørkjeder</w:t>
      </w:r>
    </w:p>
    <w:p w14:paraId="03DEBBF9" w14:textId="217ABB88" w:rsidR="00570FB8" w:rsidRDefault="00570FB8" w:rsidP="00570FB8">
      <w:pPr>
        <w:rPr>
          <w:sz w:val="22"/>
        </w:rPr>
      </w:pPr>
      <w:r w:rsidRPr="00B25899">
        <w:rPr>
          <w:sz w:val="22"/>
        </w:rPr>
        <w:t xml:space="preserve">I en tid preget av krig og konflikt er sikkerhet og beredskap i forhold til ansvarlig og bærekraftig styring av leverandørkjeder et sentralt tema. </w:t>
      </w:r>
    </w:p>
    <w:p w14:paraId="12DDE573" w14:textId="77777777" w:rsidR="00570FB8" w:rsidRDefault="00570FB8" w:rsidP="04F80E5A">
      <w:pPr>
        <w:rPr>
          <w:rFonts w:eastAsiaTheme="minorEastAsia"/>
          <w:sz w:val="22"/>
        </w:rPr>
      </w:pPr>
      <w:r w:rsidRPr="04F80E5A">
        <w:rPr>
          <w:rFonts w:eastAsiaTheme="minorEastAsia"/>
          <w:sz w:val="22"/>
        </w:rPr>
        <w:t xml:space="preserve">OECD framhever at god leverandørkjedestyring gjør det mulig for leverandørene å reagere raskt og effektivt i krisesituasjoner for å opprettholde kontinuitet i samfunnskritiske leveranser og tjenester. </w:t>
      </w:r>
      <w:r w:rsidRPr="04F80E5A">
        <w:rPr>
          <w:rFonts w:eastAsiaTheme="minorEastAsia"/>
          <w:sz w:val="22"/>
        </w:rPr>
        <w:footnoteReference w:id="2"/>
      </w:r>
      <w:r w:rsidRPr="04F80E5A">
        <w:rPr>
          <w:rFonts w:eastAsiaTheme="minorEastAsia"/>
          <w:sz w:val="22"/>
        </w:rPr>
        <w:t xml:space="preserve"> Sikkerhets- og beredskapshensyn er også sentrale temaer i NOU 2024:9: Ny lov om offentlige anskaffelser. </w:t>
      </w:r>
      <w:r w:rsidRPr="04F80E5A">
        <w:rPr>
          <w:rFonts w:eastAsiaTheme="minorEastAsia"/>
          <w:sz w:val="22"/>
        </w:rPr>
        <w:footnoteReference w:id="3"/>
      </w:r>
      <w:r w:rsidRPr="04F80E5A">
        <w:rPr>
          <w:rFonts w:eastAsiaTheme="minorEastAsia"/>
          <w:sz w:val="22"/>
        </w:rPr>
        <w:t xml:space="preserve">  I Totalberedskapsmeldingen</w:t>
      </w:r>
      <w:r w:rsidRPr="04F80E5A">
        <w:rPr>
          <w:rFonts w:eastAsiaTheme="minorEastAsia"/>
          <w:sz w:val="22"/>
        </w:rPr>
        <w:footnoteReference w:id="4"/>
      </w:r>
      <w:r w:rsidRPr="04F80E5A">
        <w:rPr>
          <w:rFonts w:eastAsiaTheme="minorEastAsia"/>
          <w:sz w:val="22"/>
        </w:rPr>
        <w:t xml:space="preserve"> refereres det til NOUen og det understrekes at offentlige virksomheter trenger god veiledning innen dette område.</w:t>
      </w:r>
    </w:p>
    <w:p w14:paraId="4D373D00" w14:textId="5B2C0E14" w:rsidR="001178B1" w:rsidRDefault="001178B1" w:rsidP="04F80E5A">
      <w:pPr>
        <w:rPr>
          <w:sz w:val="22"/>
        </w:rPr>
      </w:pPr>
      <w:r>
        <w:rPr>
          <w:sz w:val="22"/>
        </w:rPr>
        <w:t xml:space="preserve">Et viktig aspekt av forsyningssikkerhet er å ha kjennskap til hvor og hvordan samfunnskritiske produkter og tjenester blir produsert. </w:t>
      </w:r>
      <w:r w:rsidRPr="006B1606">
        <w:rPr>
          <w:sz w:val="22"/>
        </w:rPr>
        <w:t xml:space="preserve">Leverandører med informasjon og oversikt over </w:t>
      </w:r>
      <w:r>
        <w:rPr>
          <w:sz w:val="22"/>
        </w:rPr>
        <w:t xml:space="preserve">sine </w:t>
      </w:r>
      <w:r w:rsidRPr="006B1606">
        <w:rPr>
          <w:sz w:val="22"/>
        </w:rPr>
        <w:t>leverandørkjede</w:t>
      </w:r>
      <w:r>
        <w:rPr>
          <w:sz w:val="22"/>
        </w:rPr>
        <w:t>r</w:t>
      </w:r>
      <w:r w:rsidRPr="006B1606">
        <w:rPr>
          <w:sz w:val="22"/>
        </w:rPr>
        <w:t xml:space="preserve"> har lavere risiko for produksjonsfeil, leveransestans, forsinkelser eller at helseskadelig innhold i produktene oppdages.</w:t>
      </w:r>
    </w:p>
    <w:p w14:paraId="65B823C6" w14:textId="77777777" w:rsidR="00570FB8" w:rsidRDefault="00570FB8" w:rsidP="04F80E5A">
      <w:pPr>
        <w:rPr>
          <w:sz w:val="22"/>
        </w:rPr>
      </w:pPr>
      <w:r w:rsidRPr="04F80E5A">
        <w:rPr>
          <w:rFonts w:eastAsiaTheme="minorEastAsia"/>
          <w:sz w:val="22"/>
        </w:rPr>
        <w:t>For å sikre forsyningssikkerhet basert på beredskaps- og sikkerhetshensyn, kan de foreslåtte kravene og kriteriene for bærekraftig leverandørkjedestyring med fordel benyttes.</w:t>
      </w:r>
    </w:p>
    <w:p w14:paraId="64414934" w14:textId="77777777" w:rsidR="00570FB8" w:rsidRDefault="00570FB8" w:rsidP="00570FB8">
      <w:pPr>
        <w:rPr>
          <w:sz w:val="22"/>
        </w:rPr>
      </w:pPr>
    </w:p>
    <w:p w14:paraId="37A24DC5" w14:textId="77777777" w:rsidR="00570FB8" w:rsidRPr="00B25899" w:rsidRDefault="00570FB8" w:rsidP="00570FB8">
      <w:pPr>
        <w:rPr>
          <w:sz w:val="22"/>
        </w:rPr>
      </w:pPr>
    </w:p>
    <w:p w14:paraId="688E5E66" w14:textId="77777777" w:rsidR="00570FB8" w:rsidRPr="00743C37" w:rsidRDefault="00570FB8" w:rsidP="00570FB8">
      <w:pPr>
        <w:rPr>
          <w:sz w:val="22"/>
        </w:rPr>
      </w:pPr>
    </w:p>
    <w:p w14:paraId="38C8551C" w14:textId="77777777" w:rsidR="00570FB8" w:rsidRDefault="00570FB8" w:rsidP="00570FB8">
      <w:pPr>
        <w:rPr>
          <w:sz w:val="22"/>
        </w:rPr>
      </w:pPr>
    </w:p>
    <w:p w14:paraId="7875D5C8" w14:textId="77777777" w:rsidR="00570FB8" w:rsidRPr="00F02A6B" w:rsidRDefault="00570FB8" w:rsidP="00570FB8">
      <w:pPr>
        <w:rPr>
          <w:sz w:val="22"/>
        </w:rPr>
      </w:pPr>
    </w:p>
    <w:p w14:paraId="5B9745DA" w14:textId="77777777" w:rsidR="00570FB8" w:rsidRDefault="00570FB8" w:rsidP="00570FB8"/>
    <w:p w14:paraId="555FA11F" w14:textId="77777777" w:rsidR="00570FB8" w:rsidRDefault="00570FB8" w:rsidP="00570FB8">
      <w:pPr>
        <w:spacing w:line="278" w:lineRule="auto"/>
        <w:rPr>
          <w:rFonts w:asciiTheme="majorHAnsi" w:eastAsiaTheme="majorEastAsia" w:hAnsiTheme="majorHAnsi" w:cstheme="majorBidi"/>
          <w:color w:val="0F4761" w:themeColor="accent1" w:themeShade="BF"/>
          <w:sz w:val="32"/>
          <w:szCs w:val="32"/>
        </w:rPr>
      </w:pPr>
      <w:r>
        <w:br w:type="page"/>
      </w:r>
    </w:p>
    <w:p w14:paraId="50B515CD" w14:textId="77777777" w:rsidR="00570FB8" w:rsidRPr="000A38B4" w:rsidRDefault="00570FB8" w:rsidP="00570FB8">
      <w:pPr>
        <w:pStyle w:val="Overskrift2"/>
        <w:rPr>
          <w:rFonts w:ascii="Aptos Display" w:eastAsia="Times New Roman" w:hAnsi="Aptos Display" w:cs="Times New Roman"/>
        </w:rPr>
      </w:pPr>
      <w:r w:rsidRPr="000A38B4">
        <w:lastRenderedPageBreak/>
        <w:t>Forslag til kv</w:t>
      </w:r>
      <w:bookmarkStart w:id="0" w:name="_Hlk192849051"/>
      <w:r w:rsidRPr="000A38B4">
        <w:t>alifikasjonskrav</w:t>
      </w:r>
      <w:bookmarkEnd w:id="0"/>
      <w:r>
        <w:t xml:space="preserve"> om aktsomhetsvurderinger</w:t>
      </w:r>
    </w:p>
    <w:p w14:paraId="4E1236C2" w14:textId="77777777" w:rsidR="00570FB8" w:rsidRDefault="00570FB8" w:rsidP="00570FB8">
      <w:pPr>
        <w:rPr>
          <w:sz w:val="22"/>
        </w:rPr>
      </w:pPr>
      <w:r w:rsidRPr="000C1F1C">
        <w:rPr>
          <w:sz w:val="22"/>
        </w:rPr>
        <w:t>Har leverandøren signert kontraktsvilkår</w:t>
      </w:r>
      <w:r>
        <w:rPr>
          <w:sz w:val="22"/>
        </w:rPr>
        <w:t>ene</w:t>
      </w:r>
      <w:r w:rsidRPr="000C1F1C">
        <w:rPr>
          <w:sz w:val="22"/>
        </w:rPr>
        <w:t xml:space="preserve"> for bærekraftige leverandørkjeder</w:t>
      </w:r>
      <w:r w:rsidRPr="19D8AC74">
        <w:rPr>
          <w:sz w:val="22"/>
        </w:rPr>
        <w:t>,</w:t>
      </w:r>
      <w:r w:rsidRPr="000C1F1C">
        <w:rPr>
          <w:sz w:val="22"/>
        </w:rPr>
        <w:t xml:space="preserve"> og det ved kontraktsoppfølging </w:t>
      </w:r>
      <w:proofErr w:type="gramStart"/>
      <w:r w:rsidRPr="000C1F1C">
        <w:rPr>
          <w:sz w:val="22"/>
        </w:rPr>
        <w:t>fremkommer</w:t>
      </w:r>
      <w:proofErr w:type="gramEnd"/>
      <w:r w:rsidRPr="000C1F1C">
        <w:rPr>
          <w:sz w:val="22"/>
        </w:rPr>
        <w:t xml:space="preserve"> at aktsomhetsvurderinger ikke er på plass, kan anskaffelsen anses </w:t>
      </w:r>
      <w:r w:rsidRPr="19D8AC74">
        <w:rPr>
          <w:sz w:val="22"/>
        </w:rPr>
        <w:t>å være</w:t>
      </w:r>
      <w:r w:rsidRPr="000C1F1C">
        <w:rPr>
          <w:sz w:val="22"/>
        </w:rPr>
        <w:t xml:space="preserve"> en ulovlig direkteanskaffelse. </w:t>
      </w:r>
      <w:r w:rsidRPr="19D8AC74">
        <w:rPr>
          <w:sz w:val="22"/>
        </w:rPr>
        <w:t>Dette</w:t>
      </w:r>
      <w:r w:rsidRPr="000C1F1C">
        <w:rPr>
          <w:sz w:val="22"/>
        </w:rPr>
        <w:t xml:space="preserve"> kan få uheldige konsekvenser for både leverandør og oppdragsgiver.  </w:t>
      </w:r>
    </w:p>
    <w:p w14:paraId="2BCB8FC9" w14:textId="66233246" w:rsidR="00570FB8" w:rsidRPr="000C1F1C" w:rsidRDefault="00570FB8" w:rsidP="00570FB8">
      <w:pPr>
        <w:rPr>
          <w:sz w:val="22"/>
        </w:rPr>
      </w:pPr>
      <w:r>
        <w:rPr>
          <w:sz w:val="22"/>
        </w:rPr>
        <w:t>Det foreslås derfor b</w:t>
      </w:r>
      <w:r w:rsidRPr="19D8AC74">
        <w:rPr>
          <w:sz w:val="22"/>
        </w:rPr>
        <w:t>ruk</w:t>
      </w:r>
      <w:r w:rsidRPr="000C1F1C">
        <w:rPr>
          <w:sz w:val="22"/>
        </w:rPr>
        <w:t xml:space="preserve"> av et kvalifikasjonskrav som viser at leverandør</w:t>
      </w:r>
      <w:r>
        <w:rPr>
          <w:sz w:val="22"/>
        </w:rPr>
        <w:t>en</w:t>
      </w:r>
      <w:r w:rsidRPr="000C1F1C">
        <w:rPr>
          <w:sz w:val="22"/>
        </w:rPr>
        <w:t xml:space="preserve"> har et minstenivå av teknisk og faglig kompetanse om gjennomføring av aktsomhetsvurderinger</w:t>
      </w:r>
      <w:r>
        <w:rPr>
          <w:sz w:val="22"/>
        </w:rPr>
        <w:t>.</w:t>
      </w:r>
    </w:p>
    <w:p w14:paraId="72BC15FB" w14:textId="77777777" w:rsidR="00570FB8" w:rsidRPr="000C1F1C" w:rsidRDefault="00570FB8" w:rsidP="00570FB8">
      <w:pPr>
        <w:rPr>
          <w:sz w:val="22"/>
        </w:rPr>
      </w:pPr>
    </w:p>
    <w:p w14:paraId="34A43BC4" w14:textId="77777777" w:rsidR="00570FB8" w:rsidRPr="000A38B4" w:rsidRDefault="00570FB8" w:rsidP="00570FB8">
      <w:pPr>
        <w:pStyle w:val="Overskrift2"/>
        <w:rPr>
          <w:rFonts w:ascii="Aptos Display" w:eastAsia="Times New Roman" w:hAnsi="Aptos Display" w:cs="Times New Roman"/>
        </w:rPr>
      </w:pPr>
      <w:r w:rsidRPr="000A38B4">
        <w:t>Forslag til kvalifikasjonskrav</w:t>
      </w:r>
      <w:r>
        <w:t xml:space="preserve"> og tildelingskriterium om sporbarhet i leverandørkjeden</w:t>
      </w:r>
    </w:p>
    <w:p w14:paraId="1B95922A" w14:textId="7725A1F9" w:rsidR="00570FB8" w:rsidRPr="005107CE" w:rsidRDefault="00570FB8" w:rsidP="00570FB8">
      <w:pPr>
        <w:spacing w:line="240" w:lineRule="auto"/>
        <w:rPr>
          <w:sz w:val="22"/>
        </w:rPr>
      </w:pPr>
      <w:r w:rsidRPr="00F75408">
        <w:rPr>
          <w:sz w:val="22"/>
        </w:rPr>
        <w:t>Formålet med kvalifikasjonskravet om sporbarhet i leverandørkjeden er å sikre at oppdragsgiver er informert om hvor produkte</w:t>
      </w:r>
      <w:r w:rsidR="005D14EB">
        <w:rPr>
          <w:sz w:val="22"/>
        </w:rPr>
        <w:t xml:space="preserve">ne </w:t>
      </w:r>
      <w:r w:rsidRPr="00F75408">
        <w:rPr>
          <w:sz w:val="22"/>
        </w:rPr>
        <w:t>som anskaffes, er tilvirket.</w:t>
      </w:r>
      <w:r>
        <w:rPr>
          <w:sz w:val="22"/>
        </w:rPr>
        <w:t xml:space="preserve"> L</w:t>
      </w:r>
      <w:r w:rsidRPr="000C1F1C">
        <w:rPr>
          <w:sz w:val="22"/>
        </w:rPr>
        <w:t>everandører som kan vise sporbarhet lenger ned i leverandørkjeden premieres.</w:t>
      </w:r>
      <w:r>
        <w:rPr>
          <w:sz w:val="22"/>
        </w:rPr>
        <w:t xml:space="preserve"> Stabile og langsiktige forhold mellom virksomhetene i leverandørkjeden muliggjør bedre innsyn og kjennskap til bærekraftig produksjon. </w:t>
      </w:r>
    </w:p>
    <w:p w14:paraId="5415256E" w14:textId="5390EA37" w:rsidR="00570FB8" w:rsidRDefault="00570FB8" w:rsidP="00570FB8">
      <w:pPr>
        <w:spacing w:line="240" w:lineRule="auto"/>
        <w:rPr>
          <w:rFonts w:eastAsiaTheme="minorEastAsia"/>
          <w:sz w:val="22"/>
        </w:rPr>
      </w:pPr>
      <w:r>
        <w:rPr>
          <w:rFonts w:eastAsiaTheme="minorEastAsia"/>
          <w:sz w:val="22"/>
        </w:rPr>
        <w:t xml:space="preserve">God </w:t>
      </w:r>
      <w:r w:rsidRPr="000C1F1C">
        <w:rPr>
          <w:rFonts w:eastAsiaTheme="minorEastAsia"/>
          <w:sz w:val="22"/>
        </w:rPr>
        <w:t>leverandørkjed</w:t>
      </w:r>
      <w:r>
        <w:rPr>
          <w:rFonts w:eastAsiaTheme="minorEastAsia"/>
          <w:sz w:val="22"/>
        </w:rPr>
        <w:t>kjedestyring</w:t>
      </w:r>
      <w:r w:rsidRPr="000C1F1C">
        <w:rPr>
          <w:rFonts w:eastAsiaTheme="minorEastAsia"/>
          <w:sz w:val="22"/>
        </w:rPr>
        <w:t xml:space="preserve"> er</w:t>
      </w:r>
      <w:r w:rsidR="000759A1">
        <w:rPr>
          <w:rFonts w:eastAsiaTheme="minorEastAsia"/>
          <w:sz w:val="22"/>
        </w:rPr>
        <w:t xml:space="preserve"> også</w:t>
      </w:r>
      <w:r>
        <w:rPr>
          <w:rFonts w:eastAsiaTheme="minorEastAsia"/>
          <w:sz w:val="22"/>
        </w:rPr>
        <w:t xml:space="preserve"> en </w:t>
      </w:r>
      <w:r w:rsidRPr="000C1F1C">
        <w:rPr>
          <w:rFonts w:eastAsiaTheme="minorEastAsia"/>
          <w:sz w:val="22"/>
        </w:rPr>
        <w:t>avgjørende f</w:t>
      </w:r>
      <w:r>
        <w:rPr>
          <w:rFonts w:eastAsiaTheme="minorEastAsia"/>
          <w:sz w:val="22"/>
        </w:rPr>
        <w:t>aktor for beredskapssikkerhet</w:t>
      </w:r>
      <w:r w:rsidRPr="000C1F1C">
        <w:rPr>
          <w:rFonts w:eastAsiaTheme="minorEastAsia"/>
          <w:sz w:val="22"/>
        </w:rPr>
        <w:t xml:space="preserve">. </w:t>
      </w:r>
      <w:r>
        <w:rPr>
          <w:rFonts w:eastAsiaTheme="minorEastAsia"/>
          <w:sz w:val="22"/>
        </w:rPr>
        <w:t xml:space="preserve">Det </w:t>
      </w:r>
      <w:r w:rsidRPr="000C1F1C">
        <w:rPr>
          <w:rFonts w:eastAsiaTheme="minorEastAsia"/>
          <w:sz w:val="22"/>
        </w:rPr>
        <w:t>gjør det mulig for leverandørene å reagere raskt og effektivt i krisesituasjoner og opprettholde kontinuitet i leveranser og tjenester.</w:t>
      </w:r>
      <w:r w:rsidRPr="00CC465B">
        <w:t xml:space="preserve"> </w:t>
      </w:r>
    </w:p>
    <w:p w14:paraId="0D67A09C" w14:textId="77777777" w:rsidR="00570FB8" w:rsidRPr="000C1F1C" w:rsidRDefault="00570FB8" w:rsidP="00570FB8">
      <w:pPr>
        <w:spacing w:line="276" w:lineRule="auto"/>
        <w:rPr>
          <w:rStyle w:val="Overskrift3Tegn"/>
          <w:rFonts w:eastAsiaTheme="minorHAnsi" w:cstheme="minorBidi"/>
          <w:color w:val="auto"/>
          <w:sz w:val="22"/>
          <w:szCs w:val="22"/>
        </w:rPr>
      </w:pPr>
    </w:p>
    <w:p w14:paraId="5B8944EE" w14:textId="77777777" w:rsidR="00570FB8" w:rsidRPr="00784C40" w:rsidRDefault="00570FB8" w:rsidP="00570FB8">
      <w:pPr>
        <w:pStyle w:val="Overskrift2"/>
      </w:pPr>
      <w:r w:rsidRPr="00784C40">
        <w:t xml:space="preserve">Forslag til kravspesifikasjon og tildelingskriterium om bærekraftig produksjon </w:t>
      </w:r>
    </w:p>
    <w:p w14:paraId="3C264A82" w14:textId="5B6FF26F" w:rsidR="00570FB8" w:rsidRDefault="00570FB8" w:rsidP="00570FB8">
      <w:pPr>
        <w:rPr>
          <w:sz w:val="22"/>
        </w:rPr>
      </w:pPr>
      <w:r>
        <w:rPr>
          <w:sz w:val="22"/>
        </w:rPr>
        <w:t xml:space="preserve">For å forenkle og effektivisere kontraktsoppfølging anbefales bruk av krav eller </w:t>
      </w:r>
      <w:r w:rsidRPr="00784C40" w:rsidDel="00D73681">
        <w:rPr>
          <w:sz w:val="22"/>
        </w:rPr>
        <w:t>tildelingskrit</w:t>
      </w:r>
      <w:r>
        <w:rPr>
          <w:sz w:val="22"/>
        </w:rPr>
        <w:t>erier</w:t>
      </w:r>
      <w:r w:rsidRPr="00784C40" w:rsidDel="00D73681">
        <w:rPr>
          <w:sz w:val="22"/>
        </w:rPr>
        <w:t xml:space="preserve"> </w:t>
      </w:r>
      <w:r>
        <w:rPr>
          <w:sz w:val="22"/>
        </w:rPr>
        <w:t xml:space="preserve">for </w:t>
      </w:r>
      <w:r w:rsidRPr="00784C40" w:rsidDel="00D73681">
        <w:rPr>
          <w:sz w:val="22"/>
        </w:rPr>
        <w:t>bærekraftig produksjon</w:t>
      </w:r>
      <w:r>
        <w:rPr>
          <w:sz w:val="22"/>
        </w:rPr>
        <w:t xml:space="preserve">. Dette kan </w:t>
      </w:r>
      <w:r w:rsidRPr="00784C40" w:rsidDel="00D73681">
        <w:rPr>
          <w:sz w:val="22"/>
        </w:rPr>
        <w:t xml:space="preserve">dokumenteres </w:t>
      </w:r>
      <w:r>
        <w:rPr>
          <w:sz w:val="22"/>
        </w:rPr>
        <w:t xml:space="preserve">med </w:t>
      </w:r>
      <w:r w:rsidRPr="00784C40" w:rsidDel="00D73681">
        <w:rPr>
          <w:sz w:val="22"/>
        </w:rPr>
        <w:t>merkeordning</w:t>
      </w:r>
      <w:r>
        <w:rPr>
          <w:sz w:val="22"/>
        </w:rPr>
        <w:t xml:space="preserve"> eller annen dokumentasjon</w:t>
      </w:r>
      <w:r w:rsidR="00AB7A59">
        <w:rPr>
          <w:sz w:val="22"/>
        </w:rPr>
        <w:t xml:space="preserve"> om bærekraftig produksjon</w:t>
      </w:r>
      <w:r w:rsidRPr="00784C40" w:rsidDel="00D73681">
        <w:rPr>
          <w:sz w:val="22"/>
        </w:rPr>
        <w:t>.</w:t>
      </w:r>
      <w:r>
        <w:rPr>
          <w:sz w:val="22"/>
        </w:rPr>
        <w:t xml:space="preserve"> </w:t>
      </w:r>
      <w:r w:rsidRPr="00784C40">
        <w:rPr>
          <w:sz w:val="22"/>
        </w:rPr>
        <w:t>Når offentlige oppdragsgivere stiller krav om, eller premierer</w:t>
      </w:r>
      <w:r>
        <w:rPr>
          <w:sz w:val="22"/>
        </w:rPr>
        <w:t xml:space="preserve"> bærekraftig produksjon, </w:t>
      </w:r>
      <w:r w:rsidRPr="00784C40">
        <w:rPr>
          <w:sz w:val="22"/>
        </w:rPr>
        <w:t>øke</w:t>
      </w:r>
      <w:r>
        <w:rPr>
          <w:sz w:val="22"/>
        </w:rPr>
        <w:t>s</w:t>
      </w:r>
      <w:r w:rsidRPr="00784C40">
        <w:rPr>
          <w:sz w:val="22"/>
        </w:rPr>
        <w:t xml:space="preserve"> etterspørselen</w:t>
      </w:r>
      <w:r>
        <w:rPr>
          <w:sz w:val="22"/>
        </w:rPr>
        <w:t xml:space="preserve"> på markedet og</w:t>
      </w:r>
      <w:r w:rsidRPr="00784C40">
        <w:rPr>
          <w:sz w:val="22"/>
        </w:rPr>
        <w:t xml:space="preserve"> leverandørene </w:t>
      </w:r>
      <w:r>
        <w:rPr>
          <w:sz w:val="22"/>
        </w:rPr>
        <w:t xml:space="preserve">får </w:t>
      </w:r>
      <w:r w:rsidRPr="00784C40">
        <w:rPr>
          <w:sz w:val="22"/>
        </w:rPr>
        <w:t>mulighet til å utvide varesortimentet av bærekraftig produserte varer og tjenester.</w:t>
      </w:r>
      <w:r w:rsidRPr="000C1F1C">
        <w:rPr>
          <w:sz w:val="22"/>
        </w:rPr>
        <w:t xml:space="preserve"> </w:t>
      </w:r>
    </w:p>
    <w:p w14:paraId="24053438" w14:textId="77777777" w:rsidR="00570FB8" w:rsidRPr="000C1F1C" w:rsidRDefault="00570FB8" w:rsidP="00570FB8">
      <w:pPr>
        <w:pStyle w:val="Overskrift2"/>
      </w:pPr>
    </w:p>
    <w:p w14:paraId="76B11DC2" w14:textId="77777777" w:rsidR="00570FB8" w:rsidRDefault="00570FB8" w:rsidP="00570FB8">
      <w:pPr>
        <w:pStyle w:val="Overskrift2"/>
      </w:pPr>
      <w:r>
        <w:t>Forslag til tildelingskriterium om levelønn og leveinntekt</w:t>
      </w:r>
    </w:p>
    <w:p w14:paraId="03CF9E61" w14:textId="146778FB" w:rsidR="00570FB8" w:rsidRDefault="00570FB8" w:rsidP="00570FB8">
      <w:pPr>
        <w:rPr>
          <w:sz w:val="22"/>
        </w:rPr>
      </w:pPr>
      <w:r w:rsidRPr="000C1F1C">
        <w:rPr>
          <w:sz w:val="22"/>
        </w:rPr>
        <w:t xml:space="preserve">Å bruke tildelingskriterier for å premiere leverandører som har </w:t>
      </w:r>
      <w:r>
        <w:rPr>
          <w:sz w:val="22"/>
        </w:rPr>
        <w:t>retningslinjer</w:t>
      </w:r>
      <w:r w:rsidRPr="000C1F1C">
        <w:rPr>
          <w:sz w:val="22"/>
        </w:rPr>
        <w:t>, systemer og prosesser for å kontrollere at levelønn eller leveinntekt utbetales</w:t>
      </w:r>
      <w:r>
        <w:rPr>
          <w:sz w:val="22"/>
        </w:rPr>
        <w:t>,</w:t>
      </w:r>
      <w:r w:rsidRPr="000C1F1C">
        <w:rPr>
          <w:sz w:val="22"/>
        </w:rPr>
        <w:t xml:space="preserve"> vil minske risikoen </w:t>
      </w:r>
      <w:r>
        <w:rPr>
          <w:sz w:val="22"/>
        </w:rPr>
        <w:t xml:space="preserve">for </w:t>
      </w:r>
      <w:r w:rsidRPr="000C1F1C">
        <w:rPr>
          <w:sz w:val="22"/>
        </w:rPr>
        <w:t xml:space="preserve">kritikkverdige forhold ved produksjonsenhetene der varer eller tjenester produseres. Kritikkverdige arbeidsforhold </w:t>
      </w:r>
      <w:r>
        <w:rPr>
          <w:sz w:val="22"/>
        </w:rPr>
        <w:t>med lønn under levelønnsnivå</w:t>
      </w:r>
      <w:r w:rsidR="00AB7A59">
        <w:rPr>
          <w:sz w:val="22"/>
        </w:rPr>
        <w:t xml:space="preserve"> eller tvangsarbeid</w:t>
      </w:r>
      <w:r>
        <w:rPr>
          <w:sz w:val="22"/>
        </w:rPr>
        <w:t xml:space="preserve"> </w:t>
      </w:r>
      <w:r w:rsidRPr="000C1F1C">
        <w:rPr>
          <w:sz w:val="22"/>
        </w:rPr>
        <w:t xml:space="preserve">er </w:t>
      </w:r>
      <w:r>
        <w:rPr>
          <w:sz w:val="22"/>
        </w:rPr>
        <w:t xml:space="preserve">i tillegg </w:t>
      </w:r>
      <w:r w:rsidRPr="000C1F1C">
        <w:rPr>
          <w:sz w:val="22"/>
        </w:rPr>
        <w:t>korrelert med risiko for mangler og feil på varer, produksjonsstans og forsinke</w:t>
      </w:r>
      <w:r>
        <w:rPr>
          <w:sz w:val="22"/>
        </w:rPr>
        <w:t>d</w:t>
      </w:r>
      <w:r w:rsidRPr="000C1F1C">
        <w:rPr>
          <w:sz w:val="22"/>
        </w:rPr>
        <w:t>e leveranser.</w:t>
      </w:r>
    </w:p>
    <w:p w14:paraId="17D49701" w14:textId="77777777" w:rsidR="004219D4" w:rsidRDefault="004219D4" w:rsidP="00570FB8">
      <w:pPr>
        <w:pStyle w:val="Overskrift2"/>
      </w:pPr>
    </w:p>
    <w:p w14:paraId="4F167605" w14:textId="77777777" w:rsidR="004A03A8" w:rsidRDefault="004A03A8" w:rsidP="00570FB8">
      <w:pPr>
        <w:pStyle w:val="Overskrift2"/>
      </w:pPr>
    </w:p>
    <w:p w14:paraId="232C4F8D" w14:textId="13B2D808" w:rsidR="00570FB8" w:rsidRPr="006F441F" w:rsidRDefault="00570FB8" w:rsidP="00570FB8">
      <w:pPr>
        <w:pStyle w:val="Overskrift2"/>
      </w:pPr>
      <w:r>
        <w:t>Anbefalt k</w:t>
      </w:r>
      <w:r w:rsidRPr="006F441F">
        <w:t>ontraktsvilkår</w:t>
      </w:r>
      <w:r>
        <w:t>:</w:t>
      </w:r>
    </w:p>
    <w:p w14:paraId="75F49FE6" w14:textId="77777777" w:rsidR="00570FB8" w:rsidRPr="00376301" w:rsidRDefault="00570FB8" w:rsidP="00570FB8"/>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5"/>
        <w:gridCol w:w="6831"/>
      </w:tblGrid>
      <w:tr w:rsidR="00570FB8" w:rsidRPr="00376301" w14:paraId="32A642E9" w14:textId="77777777" w:rsidTr="00D847CB">
        <w:trPr>
          <w:trHeight w:val="390"/>
        </w:trPr>
        <w:tc>
          <w:tcPr>
            <w:tcW w:w="2225" w:type="dxa"/>
            <w:tcBorders>
              <w:top w:val="single" w:sz="6" w:space="0" w:color="156082" w:themeColor="accent1"/>
              <w:left w:val="single" w:sz="6" w:space="0" w:color="156082" w:themeColor="accent1"/>
              <w:bottom w:val="single" w:sz="6" w:space="0" w:color="156082" w:themeColor="accent1"/>
              <w:right w:val="nil"/>
            </w:tcBorders>
            <w:shd w:val="clear" w:color="auto" w:fill="156082" w:themeFill="accent1"/>
            <w:hideMark/>
          </w:tcPr>
          <w:p w14:paraId="44A725ED" w14:textId="77777777" w:rsidR="00570FB8" w:rsidRPr="00025129" w:rsidRDefault="00570FB8" w:rsidP="00D847CB">
            <w:r w:rsidRPr="00025129">
              <w:rPr>
                <w:color w:val="FFFFFF" w:themeColor="background1"/>
              </w:rPr>
              <w:lastRenderedPageBreak/>
              <w:t>Kontraktsvilkår </w:t>
            </w:r>
            <w:r w:rsidRPr="00025129">
              <w:t> </w:t>
            </w:r>
          </w:p>
          <w:p w14:paraId="5B66DA2D" w14:textId="77777777" w:rsidR="00570FB8" w:rsidRPr="00025129" w:rsidRDefault="00570FB8" w:rsidP="00D847CB"/>
        </w:tc>
        <w:tc>
          <w:tcPr>
            <w:tcW w:w="6831" w:type="dxa"/>
            <w:tcBorders>
              <w:top w:val="single" w:sz="6" w:space="0" w:color="156082" w:themeColor="accent1"/>
              <w:left w:val="nil"/>
              <w:bottom w:val="single" w:sz="6" w:space="0" w:color="156082" w:themeColor="accent1"/>
              <w:right w:val="single" w:sz="6" w:space="0" w:color="156082" w:themeColor="accent1"/>
            </w:tcBorders>
            <w:shd w:val="clear" w:color="auto" w:fill="156082" w:themeFill="accent1"/>
            <w:vAlign w:val="center"/>
            <w:hideMark/>
          </w:tcPr>
          <w:p w14:paraId="13CCCB77" w14:textId="77777777" w:rsidR="00570FB8" w:rsidRPr="00025129" w:rsidRDefault="00570FB8" w:rsidP="00D847CB">
            <w:pPr>
              <w:rPr>
                <w:color w:val="FFFFFF" w:themeColor="background1"/>
              </w:rPr>
            </w:pPr>
            <w:r w:rsidRPr="10A7084E">
              <w:rPr>
                <w:color w:val="FFFFFF" w:themeColor="background1"/>
              </w:rPr>
              <w:t>Bærekraftige leverandørkjeder</w:t>
            </w:r>
          </w:p>
        </w:tc>
      </w:tr>
      <w:tr w:rsidR="00570FB8" w:rsidRPr="00376301" w14:paraId="7E8CFD28" w14:textId="77777777" w:rsidTr="00D847CB">
        <w:trPr>
          <w:trHeight w:val="870"/>
        </w:trPr>
        <w:tc>
          <w:tcPr>
            <w:tcW w:w="222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F61C4B4" w14:textId="77777777" w:rsidR="00570FB8" w:rsidRPr="00376301" w:rsidRDefault="00570FB8" w:rsidP="00D847CB">
            <w:r w:rsidRPr="00376301">
              <w:t>Formål med kontraktsvilkåre</w:t>
            </w:r>
            <w:r>
              <w:t>ne</w:t>
            </w:r>
          </w:p>
        </w:tc>
        <w:tc>
          <w:tcPr>
            <w:tcW w:w="6831"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54C401FC" w14:textId="3CA11868" w:rsidR="00570FB8" w:rsidRPr="00376301" w:rsidRDefault="00570FB8" w:rsidP="00D847CB">
            <w:r>
              <w:t xml:space="preserve">Formålet med kontraktsvilkårene er å </w:t>
            </w:r>
            <w:r w:rsidRPr="00440F57">
              <w:t>fremme</w:t>
            </w:r>
            <w:r>
              <w:t xml:space="preserve"> respekt for</w:t>
            </w:r>
            <w:r w:rsidRPr="00440F57">
              <w:t xml:space="preserve"> grunnleggende menneskerettigheter</w:t>
            </w:r>
            <w:r>
              <w:t xml:space="preserve">, herunder </w:t>
            </w:r>
            <w:r w:rsidRPr="00440F57">
              <w:t>anstendige arbeidsforhold</w:t>
            </w:r>
            <w:r>
              <w:t>, miljøhensyn og antikorrupsjon</w:t>
            </w:r>
            <w:r w:rsidRPr="00440F57">
              <w:t xml:space="preserve"> i forbindelse </w:t>
            </w:r>
            <w:r>
              <w:t xml:space="preserve">med </w:t>
            </w:r>
            <w:r w:rsidR="00875694">
              <w:t>produksjon</w:t>
            </w:r>
            <w:r>
              <w:t xml:space="preserve"> av kontraktens gjenstand.</w:t>
            </w:r>
          </w:p>
        </w:tc>
      </w:tr>
      <w:tr w:rsidR="00570FB8" w:rsidRPr="00376301" w14:paraId="29493FC7" w14:textId="77777777" w:rsidTr="00D847CB">
        <w:trPr>
          <w:trHeight w:val="915"/>
        </w:trPr>
        <w:tc>
          <w:tcPr>
            <w:tcW w:w="2225" w:type="dxa"/>
            <w:tcBorders>
              <w:top w:val="single" w:sz="6" w:space="0" w:color="auto"/>
              <w:left w:val="single" w:sz="6" w:space="0" w:color="auto"/>
              <w:bottom w:val="single" w:sz="6" w:space="0" w:color="auto"/>
              <w:right w:val="single" w:sz="6" w:space="0" w:color="auto"/>
            </w:tcBorders>
            <w:shd w:val="clear" w:color="auto" w:fill="auto"/>
            <w:hideMark/>
          </w:tcPr>
          <w:p w14:paraId="01D8D4DB" w14:textId="77777777" w:rsidR="00570FB8" w:rsidRPr="00376301" w:rsidRDefault="00570FB8" w:rsidP="00D847CB">
            <w:r w:rsidRPr="00376301">
              <w:br w:type="page"/>
              <w:t>Formulering av kontraktsvilkåre</w:t>
            </w:r>
            <w:r>
              <w:t>ne</w:t>
            </w:r>
          </w:p>
        </w:tc>
        <w:tc>
          <w:tcPr>
            <w:tcW w:w="683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6A89A1" w14:textId="77777777" w:rsidR="00570FB8" w:rsidRDefault="00570FB8" w:rsidP="00D847CB">
            <w:pPr>
              <w:rPr>
                <w:szCs w:val="18"/>
              </w:rPr>
            </w:pPr>
            <w:r w:rsidRPr="00521E1B">
              <w:rPr>
                <w:szCs w:val="18"/>
              </w:rPr>
              <w:t>Leverandøren skal gjennom hele avtaleperioden etterleve føringene i FNs Verdenserklæring om menneskerettigheter, FNs veiledende prinsipper for næringsliv og menneskerettigheter (UNGP), OECDs retningslinjer for flernasjonale selskaper om ansvarlig næringsliv og åpenhetsloven</w:t>
            </w:r>
            <w:r>
              <w:rPr>
                <w:szCs w:val="18"/>
              </w:rPr>
              <w:t>,</w:t>
            </w:r>
            <w:r w:rsidRPr="00521E1B">
              <w:rPr>
                <w:szCs w:val="18"/>
              </w:rPr>
              <w:t xml:space="preserve"> </w:t>
            </w:r>
            <w:r>
              <w:rPr>
                <w:szCs w:val="18"/>
              </w:rPr>
              <w:t>ved</w:t>
            </w:r>
            <w:r w:rsidRPr="00521E1B">
              <w:rPr>
                <w:szCs w:val="18"/>
              </w:rPr>
              <w:t xml:space="preserve"> å </w:t>
            </w:r>
            <w:r>
              <w:rPr>
                <w:szCs w:val="18"/>
              </w:rPr>
              <w:t xml:space="preserve">utføre </w:t>
            </w:r>
            <w:r w:rsidRPr="00521E1B">
              <w:rPr>
                <w:szCs w:val="18"/>
              </w:rPr>
              <w:t>aktsomhetsvurderinger.  </w:t>
            </w:r>
          </w:p>
          <w:p w14:paraId="702EEEE8" w14:textId="77777777" w:rsidR="00570FB8" w:rsidRDefault="00570FB8" w:rsidP="00D847CB">
            <w:pPr>
              <w:rPr>
                <w:szCs w:val="18"/>
              </w:rPr>
            </w:pPr>
            <w:r>
              <w:rPr>
                <w:szCs w:val="18"/>
              </w:rPr>
              <w:t xml:space="preserve">Bilag 1 spesifiserer </w:t>
            </w:r>
            <w:r w:rsidRPr="002D2FDD">
              <w:rPr>
                <w:szCs w:val="18"/>
              </w:rPr>
              <w:t>underliggende konvensjoner</w:t>
            </w:r>
            <w:r>
              <w:rPr>
                <w:szCs w:val="18"/>
              </w:rPr>
              <w:t>,</w:t>
            </w:r>
            <w:r w:rsidRPr="002D2FDD">
              <w:rPr>
                <w:szCs w:val="18"/>
              </w:rPr>
              <w:t xml:space="preserve"> </w:t>
            </w:r>
            <w:r w:rsidRPr="0089205E">
              <w:t>love</w:t>
            </w:r>
            <w:r>
              <w:t>r</w:t>
            </w:r>
            <w:r w:rsidRPr="0089205E">
              <w:t>, resolusjone</w:t>
            </w:r>
            <w:r>
              <w:t>r</w:t>
            </w:r>
            <w:r w:rsidRPr="0089205E">
              <w:t xml:space="preserve"> og protokoll</w:t>
            </w:r>
            <w:r>
              <w:t xml:space="preserve"> som skal respekteres ved </w:t>
            </w:r>
            <w:r w:rsidRPr="002D2FDD">
              <w:rPr>
                <w:szCs w:val="18"/>
              </w:rPr>
              <w:t>produksjon av varer og tjenester med høy risiko for brudd på grunnleggende menneskerettigheter</w:t>
            </w:r>
            <w:r>
              <w:rPr>
                <w:szCs w:val="18"/>
              </w:rPr>
              <w:t>,</w:t>
            </w:r>
            <w:r>
              <w:t xml:space="preserve"> herunder </w:t>
            </w:r>
            <w:r w:rsidRPr="00440F57">
              <w:t>anstendige arbeidsforhold</w:t>
            </w:r>
            <w:r>
              <w:t>, miljøhensyn og antikorrupsjon i leverandørkjeden</w:t>
            </w:r>
            <w:r>
              <w:rPr>
                <w:szCs w:val="18"/>
              </w:rPr>
              <w:t xml:space="preserve">. </w:t>
            </w:r>
            <w:r w:rsidRPr="0017431F">
              <w:rPr>
                <w:szCs w:val="18"/>
              </w:rPr>
              <w:t>Der hvor internasjonale konvensjoner og nasjonal lovgivning omhandler samme tema, skal den høyeste standarden alltid gjelde.</w:t>
            </w:r>
          </w:p>
          <w:p w14:paraId="5D93CAA4" w14:textId="0050F9A6" w:rsidR="00570FB8" w:rsidRPr="00521E1B" w:rsidRDefault="00570FB8" w:rsidP="00D847CB">
            <w:pPr>
              <w:rPr>
                <w:szCs w:val="18"/>
              </w:rPr>
            </w:pPr>
            <w:r w:rsidRPr="00521E1B">
              <w:rPr>
                <w:szCs w:val="18"/>
              </w:rPr>
              <w:t xml:space="preserve">Dersom leverandøren bruker underleverandører for å oppfylle denne kontrakten, er leverandøren forpliktet til å videreføre kravene i leverandørkjeden og kontrollere etterlevelse. </w:t>
            </w:r>
          </w:p>
          <w:p w14:paraId="09D1CF32" w14:textId="77777777" w:rsidR="00570FB8" w:rsidRPr="00521E1B" w:rsidRDefault="00570FB8" w:rsidP="00D847CB">
            <w:pPr>
              <w:rPr>
                <w:szCs w:val="18"/>
              </w:rPr>
            </w:pPr>
            <w:r w:rsidRPr="00521E1B">
              <w:rPr>
                <w:b/>
                <w:bCs/>
                <w:szCs w:val="18"/>
              </w:rPr>
              <w:t>1. Aktsomhetsvurderinger for ansvarlig næringsliv</w:t>
            </w:r>
          </w:p>
          <w:p w14:paraId="51066DEE" w14:textId="77777777" w:rsidR="00570FB8" w:rsidRPr="00521E1B" w:rsidDel="00755B79" w:rsidRDefault="00570FB8" w:rsidP="00D847CB">
            <w:pPr>
              <w:rPr>
                <w:szCs w:val="18"/>
              </w:rPr>
            </w:pPr>
            <w:bookmarkStart w:id="1" w:name="OLE_LINK1"/>
            <w:bookmarkEnd w:id="1"/>
            <w:r w:rsidRPr="00521E1B">
              <w:rPr>
                <w:szCs w:val="18"/>
              </w:rPr>
              <w:t xml:space="preserve">Aktsomhetsvurderinger skal utføres i tråd med OECDs retningslinjer for flernasjonale selskaper. De skal </w:t>
            </w:r>
            <w:r>
              <w:rPr>
                <w:szCs w:val="18"/>
              </w:rPr>
              <w:t>utføre</w:t>
            </w:r>
            <w:r w:rsidRPr="00521E1B">
              <w:rPr>
                <w:szCs w:val="18"/>
              </w:rPr>
              <w:t>s regelmessig og stå i forhold til virksomhetens størrelse, virksomhetens art, konteksten virksomheten finner sted innenfor, alvorlighetsgraden av, og sannsynligheten for brudd på for grunnleggende menneskerettigheter.</w:t>
            </w:r>
          </w:p>
          <w:p w14:paraId="7EB42936" w14:textId="77777777" w:rsidR="00570FB8" w:rsidRPr="00521E1B" w:rsidDel="009A5052" w:rsidRDefault="00570FB8" w:rsidP="00D847CB">
            <w:pPr>
              <w:rPr>
                <w:szCs w:val="18"/>
              </w:rPr>
            </w:pPr>
            <w:r w:rsidRPr="002344A0">
              <w:rPr>
                <w:szCs w:val="18"/>
              </w:rPr>
              <w:t>Redegjørelsen for aktsomhetsvurderinger skal være offentliggjort ved kontraktsinngåelse.</w:t>
            </w:r>
            <w:r>
              <w:rPr>
                <w:szCs w:val="18"/>
              </w:rPr>
              <w:t xml:space="preserve"> </w:t>
            </w:r>
          </w:p>
          <w:p w14:paraId="609DF014" w14:textId="77777777" w:rsidR="00570FB8" w:rsidRPr="00521E1B" w:rsidDel="009A5052" w:rsidRDefault="00570FB8" w:rsidP="00D847CB">
            <w:pPr>
              <w:rPr>
                <w:szCs w:val="18"/>
              </w:rPr>
            </w:pPr>
            <w:r w:rsidRPr="00D664C3">
              <w:rPr>
                <w:szCs w:val="18"/>
              </w:rPr>
              <w:t>Med aktsomhetsvurderinger menes å</w:t>
            </w:r>
            <w:r>
              <w:rPr>
                <w:szCs w:val="18"/>
              </w:rPr>
              <w:t>:</w:t>
            </w:r>
          </w:p>
          <w:p w14:paraId="26102C06" w14:textId="77777777" w:rsidR="00570FB8" w:rsidRPr="00521E1B" w:rsidDel="009A5052" w:rsidRDefault="00570FB8" w:rsidP="00D847CB">
            <w:pPr>
              <w:rPr>
                <w:szCs w:val="18"/>
              </w:rPr>
            </w:pPr>
            <w:r w:rsidRPr="00521E1B">
              <w:rPr>
                <w:szCs w:val="18"/>
              </w:rPr>
              <w:t>a) Forankre ansvarlighet i virksomhetens retningslinjer. Som et minimum innebærer dette å ha: </w:t>
            </w:r>
          </w:p>
          <w:p w14:paraId="5575A637" w14:textId="77777777" w:rsidR="00570FB8" w:rsidRPr="00F15622" w:rsidDel="009A5052" w:rsidRDefault="00570FB8" w:rsidP="00D847CB">
            <w:pPr>
              <w:pStyle w:val="Listeavsnitt"/>
              <w:numPr>
                <w:ilvl w:val="0"/>
                <w:numId w:val="20"/>
              </w:numPr>
              <w:rPr>
                <w:szCs w:val="18"/>
              </w:rPr>
            </w:pPr>
            <w:r w:rsidRPr="00F15622">
              <w:rPr>
                <w:szCs w:val="18"/>
              </w:rPr>
              <w:t>En eller flere offentlig tilgjengelige policys</w:t>
            </w:r>
            <w:r>
              <w:rPr>
                <w:szCs w:val="18"/>
              </w:rPr>
              <w:t xml:space="preserve"> </w:t>
            </w:r>
            <w:r w:rsidRPr="00F15622">
              <w:rPr>
                <w:szCs w:val="18"/>
              </w:rPr>
              <w:t>vedtatt</w:t>
            </w:r>
            <w:r>
              <w:rPr>
                <w:szCs w:val="18"/>
              </w:rPr>
              <w:t>e</w:t>
            </w:r>
            <w:r w:rsidRPr="00F15622">
              <w:rPr>
                <w:szCs w:val="18"/>
              </w:rPr>
              <w:t xml:space="preserve"> av styret. Innholdet skal som minimum omfatte en forpliktelse om å </w:t>
            </w:r>
            <w:r>
              <w:rPr>
                <w:szCs w:val="18"/>
              </w:rPr>
              <w:t xml:space="preserve">respektere </w:t>
            </w:r>
            <w:r w:rsidRPr="002D2FDD">
              <w:rPr>
                <w:szCs w:val="18"/>
              </w:rPr>
              <w:t>konvensjone</w:t>
            </w:r>
            <w:r>
              <w:rPr>
                <w:szCs w:val="18"/>
              </w:rPr>
              <w:t>r,</w:t>
            </w:r>
            <w:r w:rsidRPr="002D2FDD">
              <w:rPr>
                <w:szCs w:val="18"/>
              </w:rPr>
              <w:t xml:space="preserve"> </w:t>
            </w:r>
            <w:r w:rsidRPr="0089205E">
              <w:t>love</w:t>
            </w:r>
            <w:r>
              <w:t>r</w:t>
            </w:r>
            <w:r w:rsidRPr="0089205E">
              <w:t>, resolusjone</w:t>
            </w:r>
            <w:r>
              <w:t>r</w:t>
            </w:r>
            <w:r w:rsidRPr="0089205E">
              <w:t xml:space="preserve"> og protokol</w:t>
            </w:r>
            <w:r>
              <w:t>l i Bilag 1</w:t>
            </w:r>
            <w:r w:rsidRPr="00F15622">
              <w:rPr>
                <w:szCs w:val="18"/>
              </w:rPr>
              <w:t>, i egen virksomhet og i leverandørkjeden.  </w:t>
            </w:r>
          </w:p>
          <w:p w14:paraId="1D766320" w14:textId="77777777" w:rsidR="00570FB8" w:rsidRDefault="00570FB8" w:rsidP="00D847CB">
            <w:pPr>
              <w:pStyle w:val="Listeavsnitt"/>
              <w:numPr>
                <w:ilvl w:val="0"/>
                <w:numId w:val="20"/>
              </w:numPr>
              <w:rPr>
                <w:szCs w:val="18"/>
              </w:rPr>
            </w:pPr>
            <w:r w:rsidRPr="00F15622">
              <w:rPr>
                <w:szCs w:val="18"/>
              </w:rPr>
              <w:t xml:space="preserve">En eller flere ansatte på ledelsesnivå </w:t>
            </w:r>
            <w:r>
              <w:rPr>
                <w:szCs w:val="18"/>
              </w:rPr>
              <w:t xml:space="preserve">har </w:t>
            </w:r>
            <w:r w:rsidRPr="00F15622">
              <w:rPr>
                <w:szCs w:val="18"/>
              </w:rPr>
              <w:t>ansvar for etterlevelse og rapportering om arbeidet med aktsomhetsvurderinger til styret.  </w:t>
            </w:r>
          </w:p>
          <w:p w14:paraId="61C57F9D" w14:textId="77777777" w:rsidR="00570FB8" w:rsidRDefault="00570FB8" w:rsidP="00D847CB">
            <w:pPr>
              <w:pStyle w:val="Listeavsnitt"/>
              <w:numPr>
                <w:ilvl w:val="0"/>
                <w:numId w:val="20"/>
              </w:numPr>
              <w:rPr>
                <w:szCs w:val="18"/>
              </w:rPr>
            </w:pPr>
            <w:r w:rsidRPr="00F15622">
              <w:rPr>
                <w:szCs w:val="18"/>
              </w:rPr>
              <w:t>Styret skal regelmessig følge opp rapportering om aktsomhetsvurderinger og iverksette egnede tiltak basert på resultatene fra rapporteringen.</w:t>
            </w:r>
            <w:r>
              <w:rPr>
                <w:szCs w:val="18"/>
              </w:rPr>
              <w:t xml:space="preserve"> </w:t>
            </w:r>
          </w:p>
          <w:p w14:paraId="70BDA4B1" w14:textId="77777777" w:rsidR="00570FB8" w:rsidRPr="00CF2342" w:rsidDel="009A5052" w:rsidRDefault="00570FB8" w:rsidP="00D847CB">
            <w:pPr>
              <w:pStyle w:val="Listeavsnitt"/>
              <w:numPr>
                <w:ilvl w:val="0"/>
                <w:numId w:val="20"/>
              </w:numPr>
              <w:rPr>
                <w:szCs w:val="18"/>
              </w:rPr>
            </w:pPr>
            <w:r w:rsidRPr="00CF2342">
              <w:rPr>
                <w:szCs w:val="18"/>
              </w:rPr>
              <w:t xml:space="preserve">Leverandøren skal ha rutiner for formidling og regelmessig oppfølgning av </w:t>
            </w:r>
            <w:r>
              <w:rPr>
                <w:szCs w:val="18"/>
              </w:rPr>
              <w:t xml:space="preserve">en </w:t>
            </w:r>
            <w:r w:rsidRPr="00CF2342">
              <w:rPr>
                <w:szCs w:val="18"/>
              </w:rPr>
              <w:t>slik policy i egen virksomhet og i leverandørkjeden.</w:t>
            </w:r>
          </w:p>
          <w:p w14:paraId="36640167" w14:textId="77777777" w:rsidR="00570FB8" w:rsidRPr="00521E1B" w:rsidDel="009A5052" w:rsidRDefault="00570FB8" w:rsidP="00D847CB">
            <w:pPr>
              <w:rPr>
                <w:szCs w:val="18"/>
              </w:rPr>
            </w:pPr>
            <w:r w:rsidRPr="00521E1B">
              <w:rPr>
                <w:szCs w:val="18"/>
              </w:rPr>
              <w:t xml:space="preserve">b) Kartlegge og vurdere faktiske og </w:t>
            </w:r>
            <w:proofErr w:type="gramStart"/>
            <w:r w:rsidRPr="00521E1B">
              <w:rPr>
                <w:szCs w:val="18"/>
              </w:rPr>
              <w:t>potensielle</w:t>
            </w:r>
            <w:proofErr w:type="gramEnd"/>
            <w:r w:rsidRPr="00521E1B">
              <w:rPr>
                <w:szCs w:val="18"/>
              </w:rPr>
              <w:t xml:space="preserve"> negative konsekvenser for mennesker, samfunn og miljø som virksomheten enten har forårsaket eller bidratt til, eller som er direkte knyttet til virksomhetens forretningsvirksomhet, produkter eller tjenester</w:t>
            </w:r>
            <w:r>
              <w:rPr>
                <w:szCs w:val="18"/>
              </w:rPr>
              <w:t xml:space="preserve"> i</w:t>
            </w:r>
            <w:r w:rsidRPr="00521E1B">
              <w:rPr>
                <w:szCs w:val="18"/>
              </w:rPr>
              <w:t xml:space="preserve"> leverandørkjeder.</w:t>
            </w:r>
          </w:p>
          <w:p w14:paraId="3596A3DC" w14:textId="77777777" w:rsidR="00570FB8" w:rsidRPr="00521E1B" w:rsidDel="009A5052" w:rsidRDefault="00570FB8" w:rsidP="00D847CB">
            <w:pPr>
              <w:rPr>
                <w:szCs w:val="18"/>
              </w:rPr>
            </w:pPr>
            <w:r w:rsidRPr="00521E1B">
              <w:rPr>
                <w:szCs w:val="18"/>
              </w:rPr>
              <w:t>c) Iverksette egnede tiltak for å stanse, forebygge eller begrense negative konsekvenser basert på virksomhetens prioriteringer og vurderinger etter bokstav b.</w:t>
            </w:r>
            <w:r>
              <w:rPr>
                <w:szCs w:val="18"/>
              </w:rPr>
              <w:t xml:space="preserve"> </w:t>
            </w:r>
            <w:r w:rsidRPr="00521E1B">
              <w:rPr>
                <w:szCs w:val="18"/>
              </w:rPr>
              <w:t>Som et minimum innebærer dette å: </w:t>
            </w:r>
          </w:p>
          <w:p w14:paraId="6F1907C9" w14:textId="77777777" w:rsidR="00570FB8" w:rsidRDefault="00570FB8" w:rsidP="00D847CB">
            <w:pPr>
              <w:pStyle w:val="Listeavsnitt"/>
              <w:numPr>
                <w:ilvl w:val="0"/>
                <w:numId w:val="17"/>
              </w:numPr>
              <w:rPr>
                <w:szCs w:val="18"/>
              </w:rPr>
            </w:pPr>
            <w:r w:rsidRPr="00521E1B">
              <w:rPr>
                <w:szCs w:val="18"/>
              </w:rPr>
              <w:t xml:space="preserve">stanse aktiviteter som forårsaker eller bidrar til negativ påvirkning i egen virksomhet eller i </w:t>
            </w:r>
            <w:r>
              <w:rPr>
                <w:szCs w:val="18"/>
              </w:rPr>
              <w:t>leverandørkjeden</w:t>
            </w:r>
            <w:r w:rsidRPr="00521E1B">
              <w:rPr>
                <w:szCs w:val="18"/>
              </w:rPr>
              <w:t>. </w:t>
            </w:r>
          </w:p>
          <w:p w14:paraId="2E4C9432" w14:textId="3DE660C5" w:rsidR="00570FB8" w:rsidRPr="00B9348A" w:rsidDel="009A5052" w:rsidRDefault="00570FB8" w:rsidP="00D847CB">
            <w:pPr>
              <w:pStyle w:val="Listeavsnitt"/>
              <w:numPr>
                <w:ilvl w:val="0"/>
                <w:numId w:val="17"/>
              </w:numPr>
              <w:rPr>
                <w:szCs w:val="18"/>
              </w:rPr>
            </w:pPr>
            <w:r w:rsidRPr="00521E1B">
              <w:rPr>
                <w:szCs w:val="18"/>
              </w:rPr>
              <w:t xml:space="preserve">fremme innkjøpsmetoder som ikke hindrer underleverandører og forretningspartnerne </w:t>
            </w:r>
            <w:r w:rsidR="007078D6">
              <w:rPr>
                <w:szCs w:val="18"/>
              </w:rPr>
              <w:t>fra</w:t>
            </w:r>
            <w:r w:rsidRPr="00521E1B">
              <w:rPr>
                <w:szCs w:val="18"/>
              </w:rPr>
              <w:t xml:space="preserve"> å overholde </w:t>
            </w:r>
            <w:r w:rsidRPr="002D2FDD">
              <w:rPr>
                <w:szCs w:val="18"/>
              </w:rPr>
              <w:t>konvensjone</w:t>
            </w:r>
            <w:r>
              <w:rPr>
                <w:szCs w:val="18"/>
              </w:rPr>
              <w:t>r,</w:t>
            </w:r>
            <w:r w:rsidRPr="002D2FDD">
              <w:rPr>
                <w:szCs w:val="18"/>
              </w:rPr>
              <w:t xml:space="preserve"> </w:t>
            </w:r>
            <w:r w:rsidRPr="0089205E">
              <w:t>love</w:t>
            </w:r>
            <w:r>
              <w:t>r</w:t>
            </w:r>
            <w:r w:rsidRPr="0089205E">
              <w:t>, resolusjone</w:t>
            </w:r>
            <w:r>
              <w:t>r</w:t>
            </w:r>
            <w:r w:rsidRPr="0089205E">
              <w:t xml:space="preserve"> og protokol</w:t>
            </w:r>
            <w:r>
              <w:t>l i Bilag 1</w:t>
            </w:r>
            <w:r w:rsidRPr="00521E1B">
              <w:rPr>
                <w:szCs w:val="18"/>
              </w:rPr>
              <w:t>. </w:t>
            </w:r>
          </w:p>
          <w:p w14:paraId="4ADE047A" w14:textId="77777777" w:rsidR="00570FB8" w:rsidRPr="00521E1B" w:rsidDel="009A5052" w:rsidRDefault="00570FB8" w:rsidP="00D847CB">
            <w:pPr>
              <w:pStyle w:val="Listeavsnitt"/>
              <w:numPr>
                <w:ilvl w:val="0"/>
                <w:numId w:val="17"/>
              </w:numPr>
              <w:rPr>
                <w:szCs w:val="18"/>
              </w:rPr>
            </w:pPr>
            <w:r w:rsidRPr="00521E1B">
              <w:rPr>
                <w:szCs w:val="18"/>
              </w:rPr>
              <w:lastRenderedPageBreak/>
              <w:t xml:space="preserve">etablere handlingsplaner i samråd med berørte </w:t>
            </w:r>
            <w:r>
              <w:rPr>
                <w:szCs w:val="18"/>
              </w:rPr>
              <w:t xml:space="preserve">interessenter og </w:t>
            </w:r>
            <w:r w:rsidRPr="00521E1B">
              <w:rPr>
                <w:szCs w:val="18"/>
              </w:rPr>
              <w:t>rettighetshavere eller deres representanter. </w:t>
            </w:r>
          </w:p>
          <w:p w14:paraId="425E8CA5" w14:textId="77777777" w:rsidR="00570FB8" w:rsidRPr="00521E1B" w:rsidDel="009A5052" w:rsidRDefault="00570FB8" w:rsidP="00D847CB">
            <w:pPr>
              <w:rPr>
                <w:szCs w:val="18"/>
              </w:rPr>
            </w:pPr>
            <w:r w:rsidRPr="00521E1B">
              <w:rPr>
                <w:szCs w:val="18"/>
              </w:rPr>
              <w:t>d) Kontrollere gjennomføring og resultater av tiltak etter bokstav c.</w:t>
            </w:r>
          </w:p>
          <w:p w14:paraId="404664FE" w14:textId="0C6623B5" w:rsidR="00570FB8" w:rsidRPr="00521E1B" w:rsidDel="009A5052" w:rsidRDefault="00570FB8" w:rsidP="00D847CB">
            <w:pPr>
              <w:rPr>
                <w:szCs w:val="18"/>
              </w:rPr>
            </w:pPr>
            <w:r w:rsidRPr="00521E1B">
              <w:rPr>
                <w:szCs w:val="18"/>
              </w:rPr>
              <w:t xml:space="preserve"> e)  Informere </w:t>
            </w:r>
            <w:r w:rsidRPr="0061156F">
              <w:rPr>
                <w:szCs w:val="18"/>
              </w:rPr>
              <w:t xml:space="preserve">berørte interessenter og rettighetshavere </w:t>
            </w:r>
            <w:r w:rsidRPr="00521E1B">
              <w:rPr>
                <w:szCs w:val="18"/>
              </w:rPr>
              <w:t>om rutiner for aktsomhetsvurderinger</w:t>
            </w:r>
            <w:r>
              <w:rPr>
                <w:szCs w:val="18"/>
              </w:rPr>
              <w:t xml:space="preserve"> o</w:t>
            </w:r>
            <w:r w:rsidR="001178B1">
              <w:rPr>
                <w:szCs w:val="18"/>
              </w:rPr>
              <w:t>g</w:t>
            </w:r>
            <w:r>
              <w:rPr>
                <w:szCs w:val="18"/>
              </w:rPr>
              <w:t xml:space="preserve"> </w:t>
            </w:r>
            <w:r w:rsidRPr="00521E1B">
              <w:rPr>
                <w:szCs w:val="18"/>
              </w:rPr>
              <w:t xml:space="preserve">hvilke tiltak som er gjennomført for å kartlegge og håndtere faktisk eller </w:t>
            </w:r>
            <w:proofErr w:type="gramStart"/>
            <w:r w:rsidRPr="00521E1B">
              <w:rPr>
                <w:szCs w:val="18"/>
              </w:rPr>
              <w:t>potensiell</w:t>
            </w:r>
            <w:proofErr w:type="gramEnd"/>
            <w:r w:rsidRPr="00521E1B">
              <w:rPr>
                <w:szCs w:val="18"/>
              </w:rPr>
              <w:t xml:space="preserve"> negativ påvirkning</w:t>
            </w:r>
            <w:r>
              <w:rPr>
                <w:szCs w:val="18"/>
              </w:rPr>
              <w:t>. F</w:t>
            </w:r>
            <w:r w:rsidRPr="00521E1B">
              <w:rPr>
                <w:szCs w:val="18"/>
              </w:rPr>
              <w:t xml:space="preserve">unn og resultatet av disse aktivitetene </w:t>
            </w:r>
            <w:r>
              <w:rPr>
                <w:szCs w:val="18"/>
              </w:rPr>
              <w:t xml:space="preserve">skal være </w:t>
            </w:r>
            <w:r w:rsidRPr="00521E1B">
              <w:rPr>
                <w:szCs w:val="18"/>
              </w:rPr>
              <w:t>offentlig tilgjengelig. Leverandøren skal rapportere om gjennomførte og /eller planlagte tiltak for å rette opp skaden og/eller yte erstatning til skadelidende. </w:t>
            </w:r>
          </w:p>
          <w:p w14:paraId="144568A7" w14:textId="40E385B3" w:rsidR="00570FB8" w:rsidRPr="00521E1B" w:rsidRDefault="00570FB8" w:rsidP="00D847CB">
            <w:pPr>
              <w:rPr>
                <w:szCs w:val="18"/>
              </w:rPr>
            </w:pPr>
            <w:r w:rsidRPr="00521E1B">
              <w:rPr>
                <w:szCs w:val="18"/>
              </w:rPr>
              <w:t xml:space="preserve">f) </w:t>
            </w:r>
            <w:r>
              <w:rPr>
                <w:szCs w:val="18"/>
              </w:rPr>
              <w:t>S</w:t>
            </w:r>
            <w:r w:rsidRPr="00521E1B">
              <w:rPr>
                <w:szCs w:val="18"/>
              </w:rPr>
              <w:t xml:space="preserve">ørge for eller samarbeide om gjenoppretting og erstatning der dette er </w:t>
            </w:r>
            <w:proofErr w:type="gramStart"/>
            <w:r w:rsidRPr="00521E1B">
              <w:rPr>
                <w:szCs w:val="18"/>
              </w:rPr>
              <w:t>påkrevd</w:t>
            </w:r>
            <w:proofErr w:type="gramEnd"/>
            <w:r w:rsidRPr="00521E1B">
              <w:rPr>
                <w:szCs w:val="18"/>
              </w:rPr>
              <w:t xml:space="preserve">. </w:t>
            </w:r>
          </w:p>
          <w:p w14:paraId="45CC8D4F" w14:textId="77777777" w:rsidR="00570FB8" w:rsidRPr="00521E1B" w:rsidRDefault="00570FB8" w:rsidP="00D847CB">
            <w:pPr>
              <w:rPr>
                <w:b/>
                <w:bCs/>
                <w:szCs w:val="18"/>
              </w:rPr>
            </w:pPr>
            <w:r>
              <w:rPr>
                <w:b/>
                <w:bCs/>
                <w:szCs w:val="18"/>
              </w:rPr>
              <w:t>2</w:t>
            </w:r>
            <w:r w:rsidRPr="00521E1B">
              <w:rPr>
                <w:b/>
                <w:bCs/>
                <w:szCs w:val="18"/>
              </w:rPr>
              <w:t>. Kontraktsoppfølging  </w:t>
            </w:r>
          </w:p>
          <w:p w14:paraId="5355E3D8" w14:textId="77777777" w:rsidR="00570FB8" w:rsidRPr="00521E1B" w:rsidRDefault="00570FB8" w:rsidP="00D847CB">
            <w:pPr>
              <w:rPr>
                <w:szCs w:val="18"/>
              </w:rPr>
            </w:pPr>
            <w:r w:rsidRPr="00521E1B">
              <w:rPr>
                <w:szCs w:val="18"/>
              </w:rPr>
              <w:t xml:space="preserve">Leverandøren skal kontrollere at </w:t>
            </w:r>
            <w:r>
              <w:rPr>
                <w:szCs w:val="18"/>
              </w:rPr>
              <w:t xml:space="preserve">Punkt 1 </w:t>
            </w:r>
            <w:r w:rsidRPr="00521E1B">
              <w:rPr>
                <w:szCs w:val="18"/>
              </w:rPr>
              <w:t xml:space="preserve">etterleves i egen virksomhet og i leverandørkjeden. </w:t>
            </w:r>
          </w:p>
          <w:p w14:paraId="64C25C88" w14:textId="5592F8E4" w:rsidR="00570FB8" w:rsidRPr="00521E1B" w:rsidRDefault="00570FB8" w:rsidP="00D847CB">
            <w:pPr>
              <w:rPr>
                <w:szCs w:val="18"/>
              </w:rPr>
            </w:pPr>
            <w:r w:rsidRPr="00521E1B">
              <w:rPr>
                <w:szCs w:val="18"/>
              </w:rPr>
              <w:t xml:space="preserve">Ved varsling om brudd eller informasjon om særlige forhold som gir grunn til mistanke om forhold i strid med </w:t>
            </w:r>
            <w:r>
              <w:rPr>
                <w:szCs w:val="18"/>
              </w:rPr>
              <w:t>P</w:t>
            </w:r>
            <w:r w:rsidRPr="00521E1B">
              <w:rPr>
                <w:szCs w:val="18"/>
              </w:rPr>
              <w:t xml:space="preserve">unkt 1 i egen virksomhet eller i leverandørkjeden, skal leverandøren rapportere dette til </w:t>
            </w:r>
            <w:r>
              <w:rPr>
                <w:szCs w:val="18"/>
              </w:rPr>
              <w:t>Oppdragsgiver</w:t>
            </w:r>
            <w:r w:rsidRPr="00521E1B">
              <w:rPr>
                <w:szCs w:val="18"/>
              </w:rPr>
              <w:t xml:space="preserve"> uten ugrunnet opphold. </w:t>
            </w:r>
          </w:p>
          <w:p w14:paraId="0F64CBE3" w14:textId="02D2553B" w:rsidR="00570FB8" w:rsidRPr="00521E1B" w:rsidRDefault="00570FB8" w:rsidP="00D847CB">
            <w:pPr>
              <w:rPr>
                <w:szCs w:val="18"/>
              </w:rPr>
            </w:pPr>
            <w:r w:rsidRPr="00521E1B">
              <w:rPr>
                <w:szCs w:val="18"/>
              </w:rPr>
              <w:t xml:space="preserve">For å kontrollere etterlevelse av </w:t>
            </w:r>
            <w:r>
              <w:rPr>
                <w:szCs w:val="18"/>
              </w:rPr>
              <w:t>P</w:t>
            </w:r>
            <w:r w:rsidRPr="00521E1B">
              <w:rPr>
                <w:szCs w:val="18"/>
              </w:rPr>
              <w:t>unkt 1</w:t>
            </w:r>
            <w:r>
              <w:rPr>
                <w:szCs w:val="18"/>
              </w:rPr>
              <w:t xml:space="preserve"> </w:t>
            </w:r>
            <w:r w:rsidRPr="00521E1B">
              <w:rPr>
                <w:szCs w:val="18"/>
              </w:rPr>
              <w:t>kan Oppdragsgiver pålegge leverandør</w:t>
            </w:r>
            <w:r w:rsidR="005D0E13">
              <w:rPr>
                <w:szCs w:val="18"/>
              </w:rPr>
              <w:t>en</w:t>
            </w:r>
            <w:r w:rsidRPr="00521E1B">
              <w:rPr>
                <w:szCs w:val="18"/>
              </w:rPr>
              <w:t xml:space="preserve"> </w:t>
            </w:r>
            <w:r>
              <w:rPr>
                <w:szCs w:val="18"/>
              </w:rPr>
              <w:t>å</w:t>
            </w:r>
            <w:r w:rsidRPr="00521E1B">
              <w:rPr>
                <w:szCs w:val="18"/>
              </w:rPr>
              <w:t>;</w:t>
            </w:r>
          </w:p>
          <w:p w14:paraId="28EE8E52" w14:textId="77777777" w:rsidR="00570FB8" w:rsidRPr="000E6193" w:rsidRDefault="00570FB8" w:rsidP="00D847CB">
            <w:pPr>
              <w:pStyle w:val="Listeavsnitt"/>
              <w:numPr>
                <w:ilvl w:val="0"/>
                <w:numId w:val="8"/>
              </w:numPr>
              <w:rPr>
                <w:szCs w:val="18"/>
              </w:rPr>
            </w:pPr>
            <w:r w:rsidRPr="000E6193">
              <w:rPr>
                <w:szCs w:val="18"/>
              </w:rPr>
              <w:t xml:space="preserve">delta i oppfølgingssamtale(r) med </w:t>
            </w:r>
            <w:r>
              <w:rPr>
                <w:szCs w:val="18"/>
              </w:rPr>
              <w:t>O</w:t>
            </w:r>
            <w:r w:rsidRPr="000E6193">
              <w:rPr>
                <w:szCs w:val="18"/>
              </w:rPr>
              <w:t xml:space="preserve">ppdragsgiver og </w:t>
            </w:r>
            <w:r>
              <w:rPr>
                <w:szCs w:val="18"/>
              </w:rPr>
              <w:t xml:space="preserve">/eller </w:t>
            </w:r>
            <w:r w:rsidRPr="000E6193">
              <w:rPr>
                <w:szCs w:val="18"/>
              </w:rPr>
              <w:t>andre relevante interessenter. </w:t>
            </w:r>
          </w:p>
          <w:p w14:paraId="62D6A4DF" w14:textId="77777777" w:rsidR="00570FB8" w:rsidRPr="00521E1B" w:rsidRDefault="00570FB8" w:rsidP="00D847CB">
            <w:pPr>
              <w:pStyle w:val="Listeavsnitt"/>
              <w:numPr>
                <w:ilvl w:val="0"/>
                <w:numId w:val="8"/>
              </w:numPr>
              <w:rPr>
                <w:szCs w:val="18"/>
              </w:rPr>
            </w:pPr>
            <w:r w:rsidRPr="00521E1B">
              <w:rPr>
                <w:szCs w:val="18"/>
              </w:rPr>
              <w:t xml:space="preserve">besvare egenrapportering. </w:t>
            </w:r>
          </w:p>
          <w:p w14:paraId="5F7FEAFB" w14:textId="77777777" w:rsidR="00570FB8" w:rsidRPr="00521E1B" w:rsidRDefault="00570FB8" w:rsidP="00D847CB">
            <w:pPr>
              <w:pStyle w:val="Listeavsnitt"/>
              <w:numPr>
                <w:ilvl w:val="0"/>
                <w:numId w:val="8"/>
              </w:numPr>
              <w:rPr>
                <w:szCs w:val="18"/>
              </w:rPr>
            </w:pPr>
            <w:r w:rsidRPr="00521E1B">
              <w:rPr>
                <w:szCs w:val="18"/>
              </w:rPr>
              <w:t>fremvise gjennomførte aktsomhetsvurderinger i henhold til kravene</w:t>
            </w:r>
            <w:r>
              <w:rPr>
                <w:szCs w:val="18"/>
              </w:rPr>
              <w:t xml:space="preserve"> i Punkt 1</w:t>
            </w:r>
            <w:r w:rsidRPr="00521E1B">
              <w:rPr>
                <w:szCs w:val="18"/>
              </w:rPr>
              <w:t>. Oppdragsgiver angi</w:t>
            </w:r>
            <w:r>
              <w:rPr>
                <w:szCs w:val="18"/>
              </w:rPr>
              <w:t>r</w:t>
            </w:r>
            <w:r w:rsidRPr="00521E1B">
              <w:rPr>
                <w:szCs w:val="18"/>
              </w:rPr>
              <w:t xml:space="preserve"> hvilke produkter og hvilken del av leverandørkjeden som skal </w:t>
            </w:r>
            <w:r>
              <w:rPr>
                <w:szCs w:val="18"/>
              </w:rPr>
              <w:t>fremvises.</w:t>
            </w:r>
            <w:r w:rsidRPr="00521E1B">
              <w:rPr>
                <w:szCs w:val="18"/>
              </w:rPr>
              <w:t>   </w:t>
            </w:r>
          </w:p>
          <w:p w14:paraId="49669592" w14:textId="77777777" w:rsidR="00570FB8" w:rsidRPr="00521E1B" w:rsidRDefault="00570FB8" w:rsidP="00D847CB">
            <w:pPr>
              <w:pStyle w:val="Listeavsnitt"/>
              <w:numPr>
                <w:ilvl w:val="0"/>
                <w:numId w:val="8"/>
              </w:numPr>
              <w:rPr>
                <w:szCs w:val="18"/>
              </w:rPr>
            </w:pPr>
            <w:r w:rsidRPr="00521E1B">
              <w:rPr>
                <w:szCs w:val="18"/>
              </w:rPr>
              <w:t>fremvise en oversikt over produksjonsenheter i leverandørkjeden, inkludert kontaktopplysninger, for utvalgte produkter, og/eller komponenter og/eller råvarer. Oppdragsgiver angir hvilke produkter og hvilken del av leverandørkjeden</w:t>
            </w:r>
            <w:r>
              <w:rPr>
                <w:szCs w:val="18"/>
              </w:rPr>
              <w:t xml:space="preserve"> som skal fremvises</w:t>
            </w:r>
            <w:r w:rsidRPr="00521E1B">
              <w:rPr>
                <w:szCs w:val="18"/>
              </w:rPr>
              <w:t>.   </w:t>
            </w:r>
          </w:p>
          <w:p w14:paraId="7F84DB93" w14:textId="77777777" w:rsidR="00570FB8" w:rsidRPr="00521E1B" w:rsidRDefault="00570FB8" w:rsidP="00D847CB">
            <w:pPr>
              <w:pStyle w:val="Listeavsnitt"/>
              <w:numPr>
                <w:ilvl w:val="0"/>
                <w:numId w:val="8"/>
              </w:numPr>
              <w:rPr>
                <w:szCs w:val="18"/>
              </w:rPr>
            </w:pPr>
            <w:r w:rsidRPr="00521E1B">
              <w:rPr>
                <w:szCs w:val="18"/>
              </w:rPr>
              <w:t xml:space="preserve">fremvise rapport(er)relevant(e) for kravene i </w:t>
            </w:r>
            <w:r>
              <w:rPr>
                <w:szCs w:val="18"/>
              </w:rPr>
              <w:t>Punkt</w:t>
            </w:r>
            <w:r w:rsidRPr="00521E1B">
              <w:rPr>
                <w:szCs w:val="18"/>
              </w:rPr>
              <w:t xml:space="preserve"> 1.</w:t>
            </w:r>
          </w:p>
          <w:p w14:paraId="443FA61F" w14:textId="02E8024A" w:rsidR="00570FB8" w:rsidRPr="00321271" w:rsidRDefault="00570FB8" w:rsidP="00D847CB">
            <w:pPr>
              <w:pStyle w:val="Listeavsnitt"/>
              <w:numPr>
                <w:ilvl w:val="0"/>
                <w:numId w:val="8"/>
              </w:numPr>
              <w:rPr>
                <w:szCs w:val="18"/>
              </w:rPr>
            </w:pPr>
            <w:r w:rsidRPr="00521E1B">
              <w:rPr>
                <w:szCs w:val="18"/>
              </w:rPr>
              <w:t xml:space="preserve">fremvise </w:t>
            </w:r>
            <w:r w:rsidRPr="0057306A">
              <w:rPr>
                <w:szCs w:val="18"/>
              </w:rPr>
              <w:t>gjennomførte skjerpede aktsomhetsvurderinger ved ekstraordinære omstendigheter og kriser, som naturkatastrofer, epidemier, borgerkriger, væpnede konflikter o.l. som kan påvirke leveransene under denne kontrakten.</w:t>
            </w:r>
          </w:p>
          <w:p w14:paraId="58D4CDEC" w14:textId="77777777" w:rsidR="00570FB8" w:rsidRPr="00521E1B" w:rsidRDefault="00570FB8" w:rsidP="00D847CB">
            <w:pPr>
              <w:rPr>
                <w:szCs w:val="18"/>
              </w:rPr>
            </w:pPr>
            <w:r w:rsidRPr="00521E1B">
              <w:rPr>
                <w:szCs w:val="18"/>
              </w:rPr>
              <w:t xml:space="preserve">Svar skal gis innen rimelig tid og senest tre uker etter utsendelse fra </w:t>
            </w:r>
            <w:r>
              <w:rPr>
                <w:szCs w:val="18"/>
              </w:rPr>
              <w:t>Oppdragsgiver</w:t>
            </w:r>
            <w:r w:rsidRPr="00521E1B">
              <w:rPr>
                <w:szCs w:val="18"/>
              </w:rPr>
              <w:t xml:space="preserve">, med mindre </w:t>
            </w:r>
            <w:r>
              <w:rPr>
                <w:szCs w:val="18"/>
              </w:rPr>
              <w:t>Oppdragsgiver</w:t>
            </w:r>
            <w:r w:rsidRPr="00521E1B">
              <w:rPr>
                <w:szCs w:val="18"/>
              </w:rPr>
              <w:t xml:space="preserve"> har satt en annen frist. </w:t>
            </w:r>
          </w:p>
          <w:p w14:paraId="7F10ADEA" w14:textId="03E0868B" w:rsidR="00570FB8" w:rsidRPr="00321271" w:rsidRDefault="00570FB8" w:rsidP="00D847CB">
            <w:pPr>
              <w:rPr>
                <w:szCs w:val="18"/>
              </w:rPr>
            </w:pPr>
            <w:r>
              <w:rPr>
                <w:szCs w:val="18"/>
              </w:rPr>
              <w:t>Oppdragsgiver</w:t>
            </w:r>
            <w:r w:rsidRPr="00521E1B">
              <w:rPr>
                <w:szCs w:val="18"/>
              </w:rPr>
              <w:t xml:space="preserve"> har rett til å samarbeide med andre offentlige </w:t>
            </w:r>
            <w:r>
              <w:rPr>
                <w:szCs w:val="18"/>
              </w:rPr>
              <w:t>oppdragsgivere</w:t>
            </w:r>
            <w:r w:rsidRPr="00521E1B">
              <w:rPr>
                <w:szCs w:val="18"/>
              </w:rPr>
              <w:t xml:space="preserve"> og samarbeidspartnere</w:t>
            </w:r>
            <w:r>
              <w:rPr>
                <w:szCs w:val="18"/>
              </w:rPr>
              <w:t xml:space="preserve"> under kontraktsoppfølgingen, </w:t>
            </w:r>
            <w:r w:rsidRPr="00521E1B">
              <w:rPr>
                <w:szCs w:val="18"/>
              </w:rPr>
              <w:t>samt å dele relevant informasjon og dokumentasjon fra oppfølgingen</w:t>
            </w:r>
            <w:r>
              <w:rPr>
                <w:szCs w:val="18"/>
              </w:rPr>
              <w:t>, som revisjonsrapporter</w:t>
            </w:r>
            <w:r w:rsidRPr="00521E1B">
              <w:rPr>
                <w:szCs w:val="18"/>
              </w:rPr>
              <w:t xml:space="preserve">. </w:t>
            </w:r>
            <w:r>
              <w:rPr>
                <w:szCs w:val="18"/>
              </w:rPr>
              <w:t>Oppdragsgiver</w:t>
            </w:r>
            <w:r w:rsidRPr="00521E1B">
              <w:rPr>
                <w:szCs w:val="18"/>
              </w:rPr>
              <w:t xml:space="preserve"> skal sikre at informasjonen deles på forsvarlig måte og at taushetsplikt ivaretas. </w:t>
            </w:r>
          </w:p>
          <w:p w14:paraId="3DECDB60" w14:textId="77777777" w:rsidR="00570FB8" w:rsidRPr="003B0272" w:rsidRDefault="00570FB8" w:rsidP="00D847CB">
            <w:pPr>
              <w:rPr>
                <w:b/>
                <w:bCs/>
                <w:szCs w:val="18"/>
              </w:rPr>
            </w:pPr>
            <w:r w:rsidRPr="003B0272">
              <w:rPr>
                <w:b/>
                <w:bCs/>
                <w:szCs w:val="18"/>
              </w:rPr>
              <w:t>3. Sanksjoner </w:t>
            </w:r>
          </w:p>
          <w:p w14:paraId="42A8C4F8" w14:textId="11B4C0AE" w:rsidR="00570FB8" w:rsidRPr="003B0272" w:rsidRDefault="00570FB8" w:rsidP="00D847CB">
            <w:pPr>
              <w:rPr>
                <w:szCs w:val="18"/>
              </w:rPr>
            </w:pPr>
            <w:bookmarkStart w:id="2" w:name="_Hlk195164191"/>
            <w:r w:rsidRPr="003B0272">
              <w:rPr>
                <w:szCs w:val="18"/>
              </w:rPr>
              <w:t>Den primære arbeidsmetoden når brudd på kontraktsvilkårene oppdages, er veiledning og dialog med leverandør</w:t>
            </w:r>
            <w:r w:rsidR="005D0E13">
              <w:rPr>
                <w:szCs w:val="18"/>
              </w:rPr>
              <w:t>en</w:t>
            </w:r>
            <w:r w:rsidRPr="003B0272">
              <w:rPr>
                <w:szCs w:val="18"/>
              </w:rPr>
              <w:t>. Oppdragsgiver vil likevel kunne sanksjonere omfattende og klare brudd på kontraktsvilkårene.</w:t>
            </w:r>
          </w:p>
          <w:bookmarkEnd w:id="2"/>
          <w:p w14:paraId="5F9948CA" w14:textId="77777777" w:rsidR="00570FB8" w:rsidRPr="003B0272" w:rsidRDefault="00570FB8" w:rsidP="00D847CB">
            <w:pPr>
              <w:rPr>
                <w:szCs w:val="18"/>
              </w:rPr>
            </w:pPr>
            <w:r w:rsidRPr="003B0272">
              <w:rPr>
                <w:szCs w:val="18"/>
              </w:rPr>
              <w:t xml:space="preserve">Ved brudd på </w:t>
            </w:r>
            <w:r>
              <w:rPr>
                <w:szCs w:val="18"/>
              </w:rPr>
              <w:t>Punkt</w:t>
            </w:r>
            <w:r w:rsidRPr="003B0272">
              <w:rPr>
                <w:szCs w:val="18"/>
              </w:rPr>
              <w:t xml:space="preserve"> 1</w:t>
            </w:r>
            <w:r>
              <w:rPr>
                <w:szCs w:val="18"/>
              </w:rPr>
              <w:t>-2</w:t>
            </w:r>
            <w:r w:rsidRPr="003B0272">
              <w:rPr>
                <w:szCs w:val="18"/>
              </w:rPr>
              <w:t>, eller om det foreligger mangler i dokumentasjonen, gjelder sanksjonsbestemmelser i hovedkontrakten med følgende tillegg og presiseringer.  </w:t>
            </w:r>
          </w:p>
          <w:p w14:paraId="168A6067" w14:textId="39D4F54B" w:rsidR="00570FB8" w:rsidRPr="003B0272" w:rsidRDefault="00570FB8" w:rsidP="00D847CB">
            <w:pPr>
              <w:rPr>
                <w:szCs w:val="18"/>
              </w:rPr>
            </w:pPr>
            <w:r w:rsidRPr="003B0272">
              <w:rPr>
                <w:szCs w:val="18"/>
              </w:rPr>
              <w:t xml:space="preserve">Oppdragsgiver kan: </w:t>
            </w:r>
          </w:p>
          <w:p w14:paraId="55A0FBED" w14:textId="77777777" w:rsidR="00570FB8" w:rsidRPr="003B0272" w:rsidRDefault="00570FB8" w:rsidP="00D847CB">
            <w:pPr>
              <w:pStyle w:val="Listeavsnitt"/>
              <w:numPr>
                <w:ilvl w:val="0"/>
                <w:numId w:val="18"/>
              </w:numPr>
              <w:rPr>
                <w:szCs w:val="18"/>
              </w:rPr>
            </w:pPr>
            <w:r w:rsidRPr="003B0272">
              <w:rPr>
                <w:szCs w:val="18"/>
              </w:rPr>
              <w:t xml:space="preserve">Stille krav om å komplettere mangelfull informasjon: </w:t>
            </w:r>
            <w:r w:rsidRPr="003B0272">
              <w:rPr>
                <w:szCs w:val="18"/>
              </w:rPr>
              <w:br/>
              <w:t xml:space="preserve">Ved mangelfull informasjon skal ny eller utbedret dokumentasjon sendes </w:t>
            </w:r>
            <w:r>
              <w:rPr>
                <w:szCs w:val="18"/>
              </w:rPr>
              <w:t xml:space="preserve">inn </w:t>
            </w:r>
            <w:r w:rsidRPr="003B0272">
              <w:rPr>
                <w:szCs w:val="18"/>
              </w:rPr>
              <w:t>uten ugrunnet opphold. </w:t>
            </w:r>
          </w:p>
          <w:p w14:paraId="1BED88E5" w14:textId="77777777" w:rsidR="00570FB8" w:rsidRPr="003B0272" w:rsidRDefault="00570FB8" w:rsidP="00D847CB">
            <w:pPr>
              <w:pStyle w:val="Listeavsnitt"/>
              <w:numPr>
                <w:ilvl w:val="0"/>
                <w:numId w:val="18"/>
              </w:numPr>
              <w:rPr>
                <w:szCs w:val="18"/>
              </w:rPr>
            </w:pPr>
            <w:r w:rsidRPr="003B0272">
              <w:rPr>
                <w:szCs w:val="18"/>
              </w:rPr>
              <w:t xml:space="preserve">Kreve retting: </w:t>
            </w:r>
            <w:r w:rsidRPr="003B0272">
              <w:rPr>
                <w:szCs w:val="18"/>
              </w:rPr>
              <w:br/>
              <w:t xml:space="preserve">Leverandøren skal fremlegge en tiltaksplan for når og hvordan </w:t>
            </w:r>
            <w:r w:rsidRPr="003B0272">
              <w:rPr>
                <w:szCs w:val="18"/>
              </w:rPr>
              <w:lastRenderedPageBreak/>
              <w:t>kontraktsbruddene skal rettes. Tiltakene skal være rimelige sett i forhold til bruddenes art og omfang. Tiltaksplanen skal fremlegges innen rimelig tid og senest innen fire uker. Oppdragsgiver skal godkjenne tiltaksplanen og dokumentasjon av rettelser.  </w:t>
            </w:r>
          </w:p>
          <w:p w14:paraId="02A96BD9" w14:textId="77777777" w:rsidR="00570FB8" w:rsidRPr="003B0272" w:rsidRDefault="00570FB8" w:rsidP="00D847CB">
            <w:pPr>
              <w:pStyle w:val="Listeavsnitt"/>
              <w:numPr>
                <w:ilvl w:val="0"/>
                <w:numId w:val="18"/>
              </w:numPr>
              <w:rPr>
                <w:szCs w:val="18"/>
              </w:rPr>
            </w:pPr>
            <w:r w:rsidRPr="003B0272">
              <w:rPr>
                <w:szCs w:val="18"/>
              </w:rPr>
              <w:t>Iverksette midlertidig stans i hele eller deler av leveransen ved vesentlig kontraktsbrudd. Under stans vil ikke erstatningskjøp som foretas hos annen leverandør anses som kontraktsbrudd. </w:t>
            </w:r>
          </w:p>
          <w:p w14:paraId="389B0F37" w14:textId="77777777" w:rsidR="00570FB8" w:rsidRPr="003B0272" w:rsidRDefault="00570FB8" w:rsidP="00D847CB">
            <w:pPr>
              <w:pStyle w:val="Listeavsnitt"/>
              <w:numPr>
                <w:ilvl w:val="0"/>
                <w:numId w:val="18"/>
              </w:numPr>
              <w:rPr>
                <w:szCs w:val="18"/>
              </w:rPr>
            </w:pPr>
            <w:r w:rsidRPr="003B0272">
              <w:rPr>
                <w:szCs w:val="18"/>
              </w:rPr>
              <w:t xml:space="preserve">Kreve at leverandøren bytter underleverandør ved vesentlig kontraktsbrudd.  </w:t>
            </w:r>
            <w:r w:rsidRPr="003B0272">
              <w:rPr>
                <w:szCs w:val="18"/>
              </w:rPr>
              <w:br/>
              <w:t xml:space="preserve">Dette skal skje uten kostnad for </w:t>
            </w:r>
            <w:r>
              <w:rPr>
                <w:szCs w:val="18"/>
              </w:rPr>
              <w:t>Oppdragsgiver</w:t>
            </w:r>
            <w:r w:rsidRPr="003B0272">
              <w:rPr>
                <w:szCs w:val="18"/>
              </w:rPr>
              <w:t>. </w:t>
            </w:r>
          </w:p>
          <w:p w14:paraId="2FA39158" w14:textId="6F675728" w:rsidR="00570FB8" w:rsidRPr="003B0272" w:rsidRDefault="00570FB8" w:rsidP="00D847CB">
            <w:pPr>
              <w:pStyle w:val="Listeavsnitt"/>
              <w:numPr>
                <w:ilvl w:val="0"/>
                <w:numId w:val="18"/>
              </w:numPr>
              <w:rPr>
                <w:szCs w:val="18"/>
              </w:rPr>
            </w:pPr>
            <w:r w:rsidRPr="003B0272">
              <w:rPr>
                <w:szCs w:val="18"/>
              </w:rPr>
              <w:t xml:space="preserve">Kreve dagbot: </w:t>
            </w:r>
            <w:r w:rsidRPr="003B0272">
              <w:rPr>
                <w:szCs w:val="18"/>
              </w:rPr>
              <w:br/>
              <w:t xml:space="preserve">Oppdragsgiver har rett å kreve dagbot når </w:t>
            </w:r>
            <w:r>
              <w:rPr>
                <w:szCs w:val="18"/>
              </w:rPr>
              <w:t>l</w:t>
            </w:r>
            <w:r w:rsidRPr="003B0272">
              <w:rPr>
                <w:szCs w:val="18"/>
              </w:rPr>
              <w:t xml:space="preserve">everandøren ikke oppfyller kravet om å fremlegge tiltaksplan eller tiltaksplanen ikke blir overholdt. Dagboten påløper automatisk. Dagboten utgjør [ x ] prosent av samlet vederlag for leveransen (kontraktssummen) ekskl. merverdiavgift for hver kalenderdag forsinkelsen varer, men begrenset til maksimalt [ x </w:t>
            </w:r>
            <w:r w:rsidR="00321271" w:rsidRPr="003B0272">
              <w:rPr>
                <w:szCs w:val="18"/>
              </w:rPr>
              <w:t>] kalenderdager</w:t>
            </w:r>
            <w:r w:rsidRPr="003B0272">
              <w:rPr>
                <w:szCs w:val="18"/>
              </w:rPr>
              <w:t>. </w:t>
            </w:r>
          </w:p>
          <w:p w14:paraId="310B97B7" w14:textId="77777777" w:rsidR="00570FB8" w:rsidRPr="003B0272" w:rsidRDefault="00570FB8" w:rsidP="00D847CB">
            <w:pPr>
              <w:pStyle w:val="Listeavsnitt"/>
              <w:numPr>
                <w:ilvl w:val="0"/>
                <w:numId w:val="18"/>
              </w:numPr>
              <w:rPr>
                <w:szCs w:val="18"/>
              </w:rPr>
            </w:pPr>
            <w:r w:rsidRPr="003B0272">
              <w:rPr>
                <w:szCs w:val="18"/>
              </w:rPr>
              <w:t xml:space="preserve">Heve kontrakten: </w:t>
            </w:r>
            <w:r w:rsidRPr="003B0272">
              <w:rPr>
                <w:szCs w:val="18"/>
              </w:rPr>
              <w:br/>
              <w:t xml:space="preserve">Ved vesentlig kontraktsbrudd kan </w:t>
            </w:r>
            <w:r>
              <w:rPr>
                <w:szCs w:val="18"/>
              </w:rPr>
              <w:t>Oppdragsgiver</w:t>
            </w:r>
            <w:r w:rsidRPr="003B0272">
              <w:rPr>
                <w:szCs w:val="18"/>
              </w:rPr>
              <w:t xml:space="preserve"> heve kontrakten. Selv om Leverandøren eller underleverandøren retter, er dette ikke til hinder for at Oppdragsgiver kan heve.</w:t>
            </w:r>
          </w:p>
          <w:p w14:paraId="24C80A8B" w14:textId="77777777" w:rsidR="00570FB8" w:rsidRPr="00521E1B" w:rsidRDefault="00570FB8" w:rsidP="00D847CB">
            <w:pPr>
              <w:rPr>
                <w:szCs w:val="18"/>
              </w:rPr>
            </w:pPr>
          </w:p>
        </w:tc>
      </w:tr>
      <w:tr w:rsidR="00570FB8" w:rsidRPr="00376301" w14:paraId="6167925C" w14:textId="77777777" w:rsidTr="00D847CB">
        <w:trPr>
          <w:trHeight w:val="915"/>
        </w:trPr>
        <w:tc>
          <w:tcPr>
            <w:tcW w:w="2225" w:type="dxa"/>
            <w:tcBorders>
              <w:top w:val="single" w:sz="6" w:space="0" w:color="auto"/>
              <w:left w:val="single" w:sz="6" w:space="0" w:color="auto"/>
              <w:bottom w:val="single" w:sz="6" w:space="0" w:color="auto"/>
              <w:right w:val="single" w:sz="6" w:space="0" w:color="auto"/>
            </w:tcBorders>
            <w:shd w:val="clear" w:color="auto" w:fill="auto"/>
          </w:tcPr>
          <w:p w14:paraId="7A20817E" w14:textId="77777777" w:rsidR="00570FB8" w:rsidRPr="00376301" w:rsidRDefault="00570FB8" w:rsidP="00D847CB">
            <w:r>
              <w:lastRenderedPageBreak/>
              <w:t>Spørsmål:</w:t>
            </w:r>
          </w:p>
        </w:tc>
        <w:tc>
          <w:tcPr>
            <w:tcW w:w="6831" w:type="dxa"/>
            <w:tcBorders>
              <w:top w:val="single" w:sz="6" w:space="0" w:color="auto"/>
              <w:left w:val="single" w:sz="6" w:space="0" w:color="auto"/>
              <w:bottom w:val="single" w:sz="6" w:space="0" w:color="auto"/>
              <w:right w:val="single" w:sz="6" w:space="0" w:color="auto"/>
            </w:tcBorders>
            <w:shd w:val="clear" w:color="auto" w:fill="FFFFFF" w:themeFill="background1"/>
          </w:tcPr>
          <w:p w14:paraId="515FC078" w14:textId="44469F15" w:rsidR="00570FB8" w:rsidRPr="00521E1B" w:rsidRDefault="00570FB8" w:rsidP="00D847CB">
            <w:pPr>
              <w:rPr>
                <w:szCs w:val="18"/>
              </w:rPr>
            </w:pPr>
            <w:r w:rsidRPr="0028044E">
              <w:rPr>
                <w:szCs w:val="18"/>
              </w:rPr>
              <w:t xml:space="preserve">Under </w:t>
            </w:r>
            <w:r>
              <w:rPr>
                <w:szCs w:val="18"/>
              </w:rPr>
              <w:t>Punkt</w:t>
            </w:r>
            <w:r w:rsidRPr="0028044E">
              <w:rPr>
                <w:szCs w:val="18"/>
              </w:rPr>
              <w:t xml:space="preserve"> 1 er det satt inn underpunkter for a og c. Dette for å forenkle for leverandøren hva disse to OECD-trinnene innebærer av konkrete tiltak i aktsomhetsvurderingen. Bør også b, d, e og f inneholde underpunkter for å forenkle for leverandøren hva disse trinnene innebærer av tiltak?</w:t>
            </w:r>
          </w:p>
        </w:tc>
      </w:tr>
    </w:tbl>
    <w:p w14:paraId="5D66BA4C" w14:textId="77777777" w:rsidR="00570FB8" w:rsidRDefault="00570FB8" w:rsidP="00570FB8">
      <w:pPr>
        <w:spacing w:line="278" w:lineRule="auto"/>
      </w:pPr>
      <w:r>
        <w:br w:type="page"/>
      </w:r>
      <w:r w:rsidRPr="001C0096">
        <w:rPr>
          <w:rStyle w:val="Overskrift1Tegn"/>
        </w:rPr>
        <w:lastRenderedPageBreak/>
        <w:t xml:space="preserve">Bilag 1: </w:t>
      </w:r>
    </w:p>
    <w:p w14:paraId="4905DE82" w14:textId="77777777" w:rsidR="00570FB8" w:rsidRDefault="00570FB8" w:rsidP="00570FB8">
      <w:r>
        <w:t xml:space="preserve">Kontraktsvilkårene bygger på FNs Verdenserklæring om menneskerettigheter, FNs veiledende prinsipper for næringsliv og menneskerettigheter (UNGP) og OECDs retningslinjer for flernasjonale selskaper om ansvarlig næringsliv. Føringene i følgende </w:t>
      </w:r>
      <w:r w:rsidRPr="0089205E">
        <w:t>love</w:t>
      </w:r>
      <w:r>
        <w:t>r</w:t>
      </w:r>
      <w:r w:rsidRPr="0089205E">
        <w:t>, konvensjone</w:t>
      </w:r>
      <w:r>
        <w:t>r</w:t>
      </w:r>
      <w:r w:rsidRPr="0089205E">
        <w:t>, resolusjone</w:t>
      </w:r>
      <w:r>
        <w:t>r</w:t>
      </w:r>
      <w:r w:rsidRPr="0089205E">
        <w:t xml:space="preserve"> og protokoll </w:t>
      </w:r>
      <w:r>
        <w:t>skal respekteres</w:t>
      </w:r>
      <w:r w:rsidRPr="0089205E">
        <w:t>:</w:t>
      </w:r>
      <w:r>
        <w:t xml:space="preserve">  </w:t>
      </w:r>
    </w:p>
    <w:p w14:paraId="6F1E2E96" w14:textId="77777777" w:rsidR="00BA286F" w:rsidRPr="00BA286F" w:rsidRDefault="00BA286F" w:rsidP="00BA286F">
      <w:pPr>
        <w:contextualSpacing/>
        <w:rPr>
          <w:sz w:val="16"/>
          <w:szCs w:val="16"/>
        </w:rPr>
      </w:pPr>
      <w:r w:rsidRPr="00BA286F">
        <w:rPr>
          <w:sz w:val="16"/>
          <w:szCs w:val="16"/>
        </w:rPr>
        <w:t xml:space="preserve">FNs konvensjon om sivile og politiske rettigheter </w:t>
      </w:r>
    </w:p>
    <w:p w14:paraId="73EE2AA0" w14:textId="77777777" w:rsidR="00BA286F" w:rsidRPr="00BA286F" w:rsidRDefault="00BA286F" w:rsidP="00BA286F">
      <w:pPr>
        <w:contextualSpacing/>
        <w:rPr>
          <w:sz w:val="16"/>
          <w:szCs w:val="16"/>
        </w:rPr>
      </w:pPr>
      <w:r w:rsidRPr="00BA286F">
        <w:rPr>
          <w:sz w:val="16"/>
          <w:szCs w:val="16"/>
        </w:rPr>
        <w:t xml:space="preserve">FNs konvensjon om økonomiske, sosiale og kulturelle rettigheter </w:t>
      </w:r>
    </w:p>
    <w:p w14:paraId="258AE371" w14:textId="77777777" w:rsidR="00BA286F" w:rsidRDefault="00BA286F" w:rsidP="00570FB8">
      <w:pPr>
        <w:contextualSpacing/>
      </w:pPr>
    </w:p>
    <w:p w14:paraId="10A27931" w14:textId="6CC6E6A3" w:rsidR="00570FB8" w:rsidRPr="008D4613" w:rsidRDefault="00570FB8" w:rsidP="00570FB8">
      <w:pPr>
        <w:contextualSpacing/>
        <w:rPr>
          <w:sz w:val="16"/>
          <w:szCs w:val="16"/>
        </w:rPr>
      </w:pPr>
      <w:r w:rsidRPr="008D4613">
        <w:rPr>
          <w:sz w:val="16"/>
          <w:szCs w:val="16"/>
        </w:rPr>
        <w:t>Arbeidsmiljølovgivningen i produksjonsland</w:t>
      </w:r>
      <w:r w:rsidRPr="008D4613">
        <w:rPr>
          <w:rStyle w:val="Fotnotereferanse"/>
          <w:sz w:val="16"/>
          <w:szCs w:val="16"/>
        </w:rPr>
        <w:footnoteReference w:id="5"/>
      </w:r>
      <w:r w:rsidRPr="008D4613">
        <w:rPr>
          <w:sz w:val="16"/>
          <w:szCs w:val="16"/>
        </w:rPr>
        <w:t xml:space="preserve">.  Av særlige relevante forhold fremheves: </w:t>
      </w:r>
    </w:p>
    <w:p w14:paraId="4410199B" w14:textId="77777777" w:rsidR="00570FB8" w:rsidRPr="008D4613" w:rsidRDefault="00570FB8" w:rsidP="00570FB8">
      <w:pPr>
        <w:spacing w:line="240" w:lineRule="auto"/>
        <w:contextualSpacing/>
        <w:rPr>
          <w:sz w:val="16"/>
          <w:szCs w:val="16"/>
        </w:rPr>
      </w:pPr>
      <w:r w:rsidRPr="008D4613">
        <w:rPr>
          <w:sz w:val="16"/>
          <w:szCs w:val="16"/>
        </w:rPr>
        <w:t xml:space="preserve">- Arbeidstidsbestemmelser </w:t>
      </w:r>
    </w:p>
    <w:p w14:paraId="38B31541" w14:textId="77777777" w:rsidR="00570FB8" w:rsidRPr="008D4613" w:rsidRDefault="00570FB8" w:rsidP="00570FB8">
      <w:pPr>
        <w:spacing w:line="240" w:lineRule="auto"/>
        <w:contextualSpacing/>
        <w:rPr>
          <w:sz w:val="16"/>
          <w:szCs w:val="16"/>
        </w:rPr>
      </w:pPr>
      <w:r w:rsidRPr="008D4613">
        <w:rPr>
          <w:sz w:val="16"/>
          <w:szCs w:val="16"/>
        </w:rPr>
        <w:t xml:space="preserve">- Helse, miljø og sikkerhet </w:t>
      </w:r>
    </w:p>
    <w:p w14:paraId="49433AC6" w14:textId="77777777" w:rsidR="00570FB8" w:rsidRPr="008D4613" w:rsidRDefault="00570FB8" w:rsidP="00570FB8">
      <w:pPr>
        <w:spacing w:line="240" w:lineRule="auto"/>
        <w:contextualSpacing/>
        <w:rPr>
          <w:sz w:val="16"/>
          <w:szCs w:val="16"/>
        </w:rPr>
      </w:pPr>
      <w:r w:rsidRPr="008D4613">
        <w:rPr>
          <w:sz w:val="16"/>
          <w:szCs w:val="16"/>
        </w:rPr>
        <w:t xml:space="preserve">- Regulære ansettelsesforhold, inklusive arbeidskontrakter  </w:t>
      </w:r>
    </w:p>
    <w:p w14:paraId="3332A7CE" w14:textId="77777777" w:rsidR="00570FB8" w:rsidRPr="008D4613" w:rsidRDefault="00570FB8" w:rsidP="00570FB8">
      <w:pPr>
        <w:spacing w:line="240" w:lineRule="auto"/>
        <w:contextualSpacing/>
        <w:rPr>
          <w:sz w:val="16"/>
          <w:szCs w:val="16"/>
        </w:rPr>
      </w:pPr>
      <w:r w:rsidRPr="008D4613">
        <w:rPr>
          <w:sz w:val="16"/>
          <w:szCs w:val="16"/>
        </w:rPr>
        <w:t xml:space="preserve">- Lovfestede forsikringer og sosiale ordninger </w:t>
      </w:r>
    </w:p>
    <w:p w14:paraId="395C5690" w14:textId="77777777" w:rsidR="00570FB8" w:rsidRPr="008D4613" w:rsidRDefault="00570FB8" w:rsidP="00570FB8">
      <w:pPr>
        <w:contextualSpacing/>
        <w:rPr>
          <w:sz w:val="16"/>
          <w:szCs w:val="16"/>
        </w:rPr>
      </w:pPr>
    </w:p>
    <w:p w14:paraId="2671AC27" w14:textId="77777777" w:rsidR="00570FB8" w:rsidRPr="008D4613" w:rsidRDefault="00570FB8" w:rsidP="00570FB8">
      <w:pPr>
        <w:contextualSpacing/>
        <w:rPr>
          <w:sz w:val="16"/>
          <w:szCs w:val="16"/>
        </w:rPr>
      </w:pPr>
      <w:r w:rsidRPr="008D4613">
        <w:rPr>
          <w:sz w:val="16"/>
          <w:szCs w:val="16"/>
        </w:rPr>
        <w:t xml:space="preserve"> ILOs kjernekonvensjoner:   </w:t>
      </w:r>
    </w:p>
    <w:p w14:paraId="71E625D6" w14:textId="77777777" w:rsidR="00570FB8" w:rsidRPr="008D4613" w:rsidRDefault="00570FB8" w:rsidP="00570FB8">
      <w:pPr>
        <w:spacing w:line="240" w:lineRule="auto"/>
        <w:contextualSpacing/>
        <w:rPr>
          <w:sz w:val="16"/>
          <w:szCs w:val="16"/>
        </w:rPr>
      </w:pPr>
      <w:r w:rsidRPr="008D4613">
        <w:rPr>
          <w:sz w:val="16"/>
          <w:szCs w:val="16"/>
        </w:rPr>
        <w:t>- forbud mot tvangsarbeid (29, 105)  </w:t>
      </w:r>
    </w:p>
    <w:p w14:paraId="2546827F" w14:textId="77777777" w:rsidR="00570FB8" w:rsidRPr="008D4613" w:rsidRDefault="00570FB8" w:rsidP="00570FB8">
      <w:pPr>
        <w:spacing w:line="240" w:lineRule="auto"/>
        <w:contextualSpacing/>
        <w:rPr>
          <w:sz w:val="16"/>
          <w:szCs w:val="16"/>
        </w:rPr>
      </w:pPr>
      <w:r w:rsidRPr="008D4613">
        <w:rPr>
          <w:sz w:val="16"/>
          <w:szCs w:val="16"/>
        </w:rPr>
        <w:t xml:space="preserve">- forbud mot barnearbeid (138, 182 og 79, samt anbefaling 146)   </w:t>
      </w:r>
    </w:p>
    <w:p w14:paraId="1D091070" w14:textId="77777777" w:rsidR="00570FB8" w:rsidRPr="008D4613" w:rsidRDefault="00570FB8" w:rsidP="00570FB8">
      <w:pPr>
        <w:spacing w:line="240" w:lineRule="auto"/>
        <w:contextualSpacing/>
        <w:rPr>
          <w:sz w:val="16"/>
          <w:szCs w:val="16"/>
        </w:rPr>
      </w:pPr>
      <w:r w:rsidRPr="008D4613">
        <w:rPr>
          <w:sz w:val="16"/>
          <w:szCs w:val="16"/>
        </w:rPr>
        <w:t xml:space="preserve">- forbud mot diskriminering (100, 111) </w:t>
      </w:r>
    </w:p>
    <w:p w14:paraId="7FC86B68" w14:textId="77777777" w:rsidR="00570FB8" w:rsidRPr="008D4613" w:rsidRDefault="00570FB8" w:rsidP="00570FB8">
      <w:pPr>
        <w:spacing w:line="240" w:lineRule="auto"/>
        <w:contextualSpacing/>
        <w:rPr>
          <w:sz w:val="16"/>
          <w:szCs w:val="16"/>
        </w:rPr>
      </w:pPr>
      <w:r w:rsidRPr="008D4613">
        <w:rPr>
          <w:sz w:val="16"/>
          <w:szCs w:val="16"/>
        </w:rPr>
        <w:t xml:space="preserve">- helse, miljø og sikkerhet (155, 187) </w:t>
      </w:r>
    </w:p>
    <w:p w14:paraId="46CD6300" w14:textId="77777777" w:rsidR="00570FB8" w:rsidRPr="008D4613" w:rsidRDefault="00570FB8" w:rsidP="00570FB8">
      <w:pPr>
        <w:rPr>
          <w:sz w:val="16"/>
          <w:szCs w:val="16"/>
        </w:rPr>
      </w:pPr>
      <w:r w:rsidRPr="008D4613">
        <w:rPr>
          <w:sz w:val="16"/>
          <w:szCs w:val="16"/>
        </w:rPr>
        <w:t xml:space="preserve">- organisasjonsfrihet, fagforeningsrettigheter og retten til kollektive forhandlinger (87, 98, 135 og 154).  Der hvor konvensjon 87 og 98 er begrenset ved nasjonal lov skal arbeidsgiveren legge til rette for, og ikke hindre alternative mekanismer for fri og uavhengig organisering og forhandling. </w:t>
      </w:r>
    </w:p>
    <w:p w14:paraId="6E870CD8" w14:textId="78AF88ED" w:rsidR="00570FB8" w:rsidRDefault="00B45577" w:rsidP="00570FB8">
      <w:pPr>
        <w:rPr>
          <w:sz w:val="16"/>
          <w:szCs w:val="16"/>
        </w:rPr>
      </w:pPr>
      <w:r w:rsidRPr="26F131F8">
        <w:rPr>
          <w:sz w:val="16"/>
          <w:szCs w:val="16"/>
        </w:rPr>
        <w:t xml:space="preserve">ILO konvensjon 169 om urfolks rettigheter, </w:t>
      </w:r>
      <w:r w:rsidR="00570FB8" w:rsidRPr="26F131F8">
        <w:rPr>
          <w:sz w:val="16"/>
          <w:szCs w:val="16"/>
        </w:rPr>
        <w:t>FNs erklæring om nasjonale minoriteters rettigheter</w:t>
      </w:r>
      <w:r w:rsidR="5EBD8532" w:rsidRPr="26F131F8">
        <w:rPr>
          <w:sz w:val="16"/>
          <w:szCs w:val="16"/>
        </w:rPr>
        <w:t xml:space="preserve">; </w:t>
      </w:r>
      <w:r w:rsidR="00570FB8" w:rsidRPr="26F131F8">
        <w:rPr>
          <w:sz w:val="16"/>
          <w:szCs w:val="16"/>
        </w:rPr>
        <w:t>FNs erklæring om urfolks rettigheter</w:t>
      </w:r>
    </w:p>
    <w:p w14:paraId="7785E47A" w14:textId="1A30797E" w:rsidR="005728D5" w:rsidRPr="00996D16" w:rsidRDefault="00996D16" w:rsidP="005728D5">
      <w:pPr>
        <w:rPr>
          <w:sz w:val="16"/>
          <w:szCs w:val="16"/>
        </w:rPr>
      </w:pPr>
      <w:r w:rsidRPr="26F131F8">
        <w:rPr>
          <w:sz w:val="16"/>
          <w:szCs w:val="16"/>
        </w:rPr>
        <w:t>ILO-konvensjon nr. 190 om vold og trakassering i arbeidslivet</w:t>
      </w:r>
      <w:r w:rsidR="5B8815A8" w:rsidRPr="26F131F8">
        <w:rPr>
          <w:sz w:val="16"/>
          <w:szCs w:val="16"/>
        </w:rPr>
        <w:t xml:space="preserve">; </w:t>
      </w:r>
      <w:r w:rsidR="005728D5" w:rsidRPr="26F131F8">
        <w:rPr>
          <w:sz w:val="16"/>
          <w:szCs w:val="16"/>
        </w:rPr>
        <w:t>FNs kvinnediskrimineringskonvensjon</w:t>
      </w:r>
    </w:p>
    <w:p w14:paraId="5E0F5672" w14:textId="77777777" w:rsidR="00D336AD" w:rsidRPr="008D4613" w:rsidRDefault="00D336AD" w:rsidP="00D336AD">
      <w:pPr>
        <w:rPr>
          <w:sz w:val="16"/>
          <w:szCs w:val="16"/>
        </w:rPr>
      </w:pPr>
      <w:r w:rsidRPr="008D4613">
        <w:rPr>
          <w:sz w:val="16"/>
          <w:szCs w:val="16"/>
        </w:rPr>
        <w:t xml:space="preserve">ILO-konvensjon nr. 131 om fastsettelse av lønn som sikrer at arbeidere får en lønn som dekker deres grunnleggende behov og definisjon av levelønn/leveinntekt fra uttalelse fra ILOs styre, godkjent 13. mars 2024: “En lønn som er nødvendig for å sikre en anstendig levestandard for arbeidere og deres familier, tatt i betraktning landets omstendigheter og beregnet for arbeid utført i normale arbeidstimer.” </w:t>
      </w:r>
    </w:p>
    <w:p w14:paraId="4E049DC0" w14:textId="5588498C" w:rsidR="00570FB8" w:rsidRPr="008D4613" w:rsidRDefault="00570FB8" w:rsidP="00570FB8">
      <w:pPr>
        <w:rPr>
          <w:sz w:val="16"/>
          <w:szCs w:val="16"/>
        </w:rPr>
      </w:pPr>
      <w:r w:rsidRPr="26F131F8">
        <w:rPr>
          <w:sz w:val="16"/>
          <w:szCs w:val="16"/>
        </w:rPr>
        <w:t>FNs konvensjon mot korrupsjon; Europarådets konvensjon mot korrupsjon</w:t>
      </w:r>
    </w:p>
    <w:p w14:paraId="22249C27" w14:textId="6640B1BE" w:rsidR="00570FB8" w:rsidRPr="008D4613" w:rsidRDefault="00570FB8" w:rsidP="00570FB8">
      <w:pPr>
        <w:rPr>
          <w:sz w:val="16"/>
          <w:szCs w:val="16"/>
        </w:rPr>
      </w:pPr>
      <w:r w:rsidRPr="26F131F8">
        <w:rPr>
          <w:sz w:val="16"/>
          <w:szCs w:val="16"/>
        </w:rPr>
        <w:t>Internasjonal humanitærrett, inkludert Genèvekonvensjonene</w:t>
      </w:r>
    </w:p>
    <w:p w14:paraId="7A2DEBAA" w14:textId="12825B26" w:rsidR="00570FB8" w:rsidRPr="008D4613" w:rsidRDefault="00570FB8" w:rsidP="00570FB8">
      <w:pPr>
        <w:rPr>
          <w:sz w:val="16"/>
          <w:szCs w:val="16"/>
        </w:rPr>
      </w:pPr>
      <w:r w:rsidRPr="26F131F8">
        <w:rPr>
          <w:sz w:val="16"/>
          <w:szCs w:val="16"/>
        </w:rPr>
        <w:t>Konvensjonen om biologisk mangfold (CBD) og relevante avtaler under denne</w:t>
      </w:r>
      <w:r w:rsidR="00D336AD" w:rsidRPr="26F131F8">
        <w:rPr>
          <w:sz w:val="16"/>
          <w:szCs w:val="16"/>
        </w:rPr>
        <w:t xml:space="preserve">, </w:t>
      </w:r>
      <w:r w:rsidRPr="26F131F8">
        <w:rPr>
          <w:sz w:val="16"/>
          <w:szCs w:val="16"/>
        </w:rPr>
        <w:t>FNs resolusjon om retten til å leve i et rent, sunt, og bærekraftig miljø</w:t>
      </w:r>
      <w:r w:rsidR="1D2A28A8" w:rsidRPr="26F131F8">
        <w:rPr>
          <w:sz w:val="16"/>
          <w:szCs w:val="16"/>
        </w:rPr>
        <w:t>;</w:t>
      </w:r>
      <w:r w:rsidR="00D336AD" w:rsidRPr="26F131F8">
        <w:rPr>
          <w:sz w:val="16"/>
          <w:szCs w:val="16"/>
        </w:rPr>
        <w:t xml:space="preserve"> </w:t>
      </w:r>
      <w:r w:rsidRPr="26F131F8">
        <w:rPr>
          <w:sz w:val="16"/>
          <w:szCs w:val="16"/>
        </w:rPr>
        <w:t>FNs protokoll om vann og helse</w:t>
      </w:r>
    </w:p>
    <w:p w14:paraId="4EB6D417" w14:textId="77777777" w:rsidR="00570FB8" w:rsidRDefault="00570FB8" w:rsidP="00570FB8"/>
    <w:p w14:paraId="56F34F98" w14:textId="77777777" w:rsidR="00570FB8" w:rsidRDefault="00570FB8" w:rsidP="00570FB8">
      <w:r w:rsidRPr="0017431F">
        <w:rPr>
          <w:szCs w:val="18"/>
        </w:rPr>
        <w:t>Der hvor internasjonale konvensjoner og nasjonal lovgivning omhandler samme tema, skal den høyeste standarden alltid gjelde.</w:t>
      </w:r>
    </w:p>
    <w:p w14:paraId="4F4160DF" w14:textId="77777777" w:rsidR="00570FB8" w:rsidRDefault="00570FB8" w:rsidP="00570FB8">
      <w:r>
        <w:br w:type="page"/>
      </w:r>
    </w:p>
    <w:p w14:paraId="1A2E1F02" w14:textId="77777777" w:rsidR="00570FB8" w:rsidRDefault="00570FB8" w:rsidP="00570FB8">
      <w:pPr>
        <w:pStyle w:val="Overskrift2"/>
      </w:pPr>
      <w:r>
        <w:lastRenderedPageBreak/>
        <w:t>Anbefalt kvalifikasjonskrav (1):</w:t>
      </w:r>
    </w:p>
    <w:p w14:paraId="76685AF4" w14:textId="77777777" w:rsidR="00570FB8" w:rsidRPr="00AC1507" w:rsidRDefault="00570FB8" w:rsidP="00570FB8"/>
    <w:tbl>
      <w:tblPr>
        <w:tblW w:w="89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9"/>
        <w:gridCol w:w="6784"/>
      </w:tblGrid>
      <w:tr w:rsidR="00570FB8" w:rsidRPr="00AC1507" w14:paraId="04155BC4" w14:textId="77777777" w:rsidTr="006F1D0C">
        <w:trPr>
          <w:trHeight w:val="550"/>
        </w:trPr>
        <w:tc>
          <w:tcPr>
            <w:tcW w:w="2209"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1C762A92" w14:textId="77777777" w:rsidR="00570FB8" w:rsidRPr="00025129" w:rsidRDefault="00570FB8" w:rsidP="00D847CB">
            <w:r w:rsidRPr="00025129">
              <w:rPr>
                <w:color w:val="FFFFFF" w:themeColor="background1"/>
              </w:rPr>
              <w:t>Kvalifikasjonskrav </w:t>
            </w:r>
          </w:p>
        </w:tc>
        <w:tc>
          <w:tcPr>
            <w:tcW w:w="6784"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7C4BD41D" w14:textId="77777777" w:rsidR="00570FB8" w:rsidRPr="00AC1507" w:rsidRDefault="00570FB8" w:rsidP="00D847CB">
            <w:pPr>
              <w:rPr>
                <w:color w:val="FFFFFF" w:themeColor="background1"/>
              </w:rPr>
            </w:pPr>
            <w:r w:rsidRPr="403EF5BC">
              <w:rPr>
                <w:color w:val="FFFFFF" w:themeColor="background1"/>
              </w:rPr>
              <w:t xml:space="preserve"> </w:t>
            </w:r>
            <w:r>
              <w:rPr>
                <w:color w:val="FFFFFF" w:themeColor="background1"/>
              </w:rPr>
              <w:t>Aktsomhetsvurderinger</w:t>
            </w:r>
          </w:p>
        </w:tc>
      </w:tr>
      <w:tr w:rsidR="00570FB8" w:rsidRPr="00AC1507" w14:paraId="187F7471" w14:textId="77777777" w:rsidTr="006F1D0C">
        <w:trPr>
          <w:trHeight w:val="762"/>
        </w:trPr>
        <w:tc>
          <w:tcPr>
            <w:tcW w:w="2209"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426E322A" w14:textId="77777777" w:rsidR="00570FB8" w:rsidRPr="00AC1507" w:rsidRDefault="00570FB8" w:rsidP="00D847CB">
            <w:r w:rsidRPr="00AC1507">
              <w:t>Formål med kvalifikasjonskravet  </w:t>
            </w:r>
          </w:p>
        </w:tc>
        <w:tc>
          <w:tcPr>
            <w:tcW w:w="6784"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1887456F" w14:textId="77777777" w:rsidR="00570FB8" w:rsidRPr="00AC1507" w:rsidRDefault="00570FB8" w:rsidP="00D847CB">
            <w:r w:rsidRPr="00AC1507">
              <w:t xml:space="preserve">Formålet med kvalifikasjonskravet er å kontrollere at leverandøren gjennomfører aktsomhetsvurderinger </w:t>
            </w:r>
            <w:r>
              <w:t xml:space="preserve">for ansvarlig næringsliv </w:t>
            </w:r>
            <w:r w:rsidRPr="00AC1507">
              <w:t xml:space="preserve">ved tilbudsinnlevering. Dette er for å sikre at leverandøren har nødvendig teknisk og faglig kompetanse til å etterleve kontraktsvilkårene for </w:t>
            </w:r>
            <w:r>
              <w:t>aktsomhetsvurderinger og en bærekraftig leverandørkjedestyring for kontraktens gjenstand i</w:t>
            </w:r>
            <w:r w:rsidRPr="00AC1507">
              <w:t xml:space="preserve"> kontraktsperioden.  </w:t>
            </w:r>
          </w:p>
        </w:tc>
      </w:tr>
      <w:tr w:rsidR="00570FB8" w:rsidRPr="00AC1507" w14:paraId="08326A96" w14:textId="77777777" w:rsidTr="006F1D0C">
        <w:trPr>
          <w:trHeight w:val="84"/>
        </w:trPr>
        <w:tc>
          <w:tcPr>
            <w:tcW w:w="2209"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6CA2C09B" w14:textId="77777777" w:rsidR="00570FB8" w:rsidRPr="00AC1507" w:rsidRDefault="00570FB8" w:rsidP="00D847CB">
            <w:r w:rsidRPr="00AC1507">
              <w:t>Formulering av kvalifikasjonskravet  </w:t>
            </w:r>
          </w:p>
        </w:tc>
        <w:tc>
          <w:tcPr>
            <w:tcW w:w="6784"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3AC3E4EF" w14:textId="4255C779" w:rsidR="00570FB8" w:rsidRPr="00AC1507" w:rsidRDefault="00570FB8" w:rsidP="00D847CB">
            <w:r w:rsidRPr="00AC1507">
              <w:t xml:space="preserve">Leverandøren skal </w:t>
            </w:r>
            <w:r w:rsidR="005C6938">
              <w:t xml:space="preserve">fremvise </w:t>
            </w:r>
            <w:r>
              <w:t xml:space="preserve">rutiner for å utføre </w:t>
            </w:r>
            <w:r w:rsidRPr="00AC1507">
              <w:t>aktsomhetsvurderinger i tråd med OECDs retningslinjer for ansvarlig næringsliv</w:t>
            </w:r>
            <w:r>
              <w:t>.</w:t>
            </w:r>
            <w:r w:rsidRPr="00AC1507">
              <w:t>  </w:t>
            </w:r>
          </w:p>
        </w:tc>
      </w:tr>
      <w:tr w:rsidR="00570FB8" w:rsidRPr="00AC1507" w14:paraId="4C62A698" w14:textId="77777777" w:rsidTr="006F1D0C">
        <w:trPr>
          <w:trHeight w:val="1341"/>
        </w:trPr>
        <w:tc>
          <w:tcPr>
            <w:tcW w:w="2209"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112FB418" w14:textId="77777777" w:rsidR="00570FB8" w:rsidRPr="00AC1507" w:rsidRDefault="00570FB8" w:rsidP="00D847CB">
            <w:r w:rsidRPr="00AC1507">
              <w:t>Dokumentasjon:  </w:t>
            </w:r>
          </w:p>
        </w:tc>
        <w:tc>
          <w:tcPr>
            <w:tcW w:w="6784"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6E1CA7A6" w14:textId="77777777" w:rsidR="00570FB8" w:rsidRPr="00AC1507" w:rsidRDefault="00570FB8" w:rsidP="00D847CB">
            <w:r>
              <w:t>Leverandørens kan dokumentere sine rutiner for aktsomhetsvurderinger enten gjennom å;</w:t>
            </w:r>
            <w:r>
              <w:br/>
              <w:t xml:space="preserve">1) legge ved lenke til virksomhetens nettside hvor en redegjørelse for aktsomhetsvurderinger er publisert i henhold til åpenhetsloven, eller </w:t>
            </w:r>
            <w:r>
              <w:br/>
              <w:t>2) legge ved en redegjørelse for aktsomhetsvurderinger.</w:t>
            </w:r>
          </w:p>
          <w:p w14:paraId="5C588E94" w14:textId="77777777" w:rsidR="00570FB8" w:rsidRPr="00AC1507" w:rsidRDefault="00570FB8" w:rsidP="00D847CB">
            <w:pPr>
              <w:rPr>
                <w:rFonts w:eastAsiaTheme="minorEastAsia"/>
              </w:rPr>
            </w:pPr>
            <w:r w:rsidRPr="4D2098E4">
              <w:rPr>
                <w:rFonts w:ascii="Aptos" w:eastAsia="Times New Roman" w:hAnsi="Aptos" w:cs="Times New Roman"/>
              </w:rPr>
              <w:t xml:space="preserve">Virksomheter som ikke er omfattet av åpenhetsloven, </w:t>
            </w:r>
            <w:r>
              <w:rPr>
                <w:rFonts w:ascii="Aptos" w:eastAsia="Times New Roman" w:hAnsi="Aptos" w:cs="Times New Roman"/>
              </w:rPr>
              <w:t>skal</w:t>
            </w:r>
            <w:r w:rsidRPr="4D2098E4">
              <w:rPr>
                <w:rFonts w:ascii="Aptos" w:eastAsia="Times New Roman" w:hAnsi="Aptos" w:cs="Times New Roman"/>
              </w:rPr>
              <w:t xml:space="preserve"> redegjør</w:t>
            </w:r>
            <w:r>
              <w:rPr>
                <w:rFonts w:ascii="Aptos" w:eastAsia="Times New Roman" w:hAnsi="Aptos" w:cs="Times New Roman"/>
              </w:rPr>
              <w:t>e</w:t>
            </w:r>
            <w:r w:rsidRPr="4D2098E4">
              <w:rPr>
                <w:rFonts w:ascii="Aptos" w:eastAsia="Times New Roman" w:hAnsi="Aptos" w:cs="Times New Roman"/>
              </w:rPr>
              <w:t xml:space="preserve"> for aktsomhetsvurderinger </w:t>
            </w:r>
            <w:r>
              <w:rPr>
                <w:rFonts w:ascii="Aptos" w:eastAsia="Times New Roman" w:hAnsi="Aptos" w:cs="Times New Roman"/>
              </w:rPr>
              <w:t xml:space="preserve">i tråd med </w:t>
            </w:r>
            <w:r w:rsidRPr="4D2098E4">
              <w:rPr>
                <w:rFonts w:eastAsiaTheme="minorEastAsia"/>
              </w:rPr>
              <w:t xml:space="preserve">åpenhetsloven § 4 a-f. </w:t>
            </w:r>
            <w:r w:rsidRPr="7A52902A">
              <w:rPr>
                <w:rFonts w:eastAsiaTheme="minorEastAsia"/>
              </w:rPr>
              <w:t>Redegjørelsen</w:t>
            </w:r>
            <w:r w:rsidRPr="4D2098E4">
              <w:rPr>
                <w:rFonts w:eastAsiaTheme="minorEastAsia"/>
              </w:rPr>
              <w:t xml:space="preserve"> </w:t>
            </w:r>
            <w:r w:rsidRPr="596C83E8">
              <w:rPr>
                <w:rFonts w:eastAsiaTheme="minorEastAsia"/>
              </w:rPr>
              <w:t>skal stå i forhold til</w:t>
            </w:r>
            <w:r w:rsidRPr="4D2098E4">
              <w:rPr>
                <w:rFonts w:eastAsiaTheme="minorEastAsia"/>
              </w:rPr>
              <w:t xml:space="preserve"> kontraktsverdi, virksomhetens størrelse, art, konteksten virksomheten finner sted innenfor, og alvorlighetsgraden av og sannsynligheten for negative konsekvenser for grunnleggende menneskerettigheter. </w:t>
            </w:r>
            <w:r w:rsidRPr="001370C0">
              <w:rPr>
                <w:rFonts w:eastAsiaTheme="minorEastAsia"/>
              </w:rPr>
              <w:t xml:space="preserve">Det er ikke </w:t>
            </w:r>
            <w:proofErr w:type="gramStart"/>
            <w:r w:rsidRPr="001370C0">
              <w:rPr>
                <w:rFonts w:eastAsiaTheme="minorEastAsia"/>
              </w:rPr>
              <w:t>påkrevd</w:t>
            </w:r>
            <w:proofErr w:type="gramEnd"/>
            <w:r w:rsidRPr="001370C0">
              <w:rPr>
                <w:rFonts w:eastAsiaTheme="minorEastAsia"/>
              </w:rPr>
              <w:t xml:space="preserve"> at redegjørelsen</w:t>
            </w:r>
            <w:r>
              <w:rPr>
                <w:rFonts w:eastAsiaTheme="minorEastAsia"/>
              </w:rPr>
              <w:t xml:space="preserve"> er offentlig publisert.</w:t>
            </w:r>
          </w:p>
        </w:tc>
      </w:tr>
      <w:tr w:rsidR="00570FB8" w:rsidRPr="00AC1507" w14:paraId="58F85809" w14:textId="77777777" w:rsidTr="006F1D0C">
        <w:trPr>
          <w:trHeight w:val="1341"/>
        </w:trPr>
        <w:tc>
          <w:tcPr>
            <w:tcW w:w="2209"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7F9E0575" w14:textId="77777777" w:rsidR="00570FB8" w:rsidRPr="00AC1507" w:rsidRDefault="00570FB8" w:rsidP="00D847CB">
            <w:r w:rsidRPr="00AC1507">
              <w:t>Informasjon om kvalifikasjonskravet  </w:t>
            </w:r>
          </w:p>
        </w:tc>
        <w:tc>
          <w:tcPr>
            <w:tcW w:w="6784"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6C445D73" w14:textId="66011F76" w:rsidR="00570FB8" w:rsidRDefault="00570FB8" w:rsidP="00D847CB">
            <w:r>
              <w:t xml:space="preserve">Risikoen for brudd på grunnleggende menneskerettigheter i leverandørkjeden ved produksjon av høyrisikoprodukter er betydelig. </w:t>
            </w:r>
            <w:r w:rsidRPr="008A7A27">
              <w:t>Bruk av kvalifikasjonskravet, i tillegg til kontraktsvilkåre</w:t>
            </w:r>
            <w:r>
              <w:t>ne</w:t>
            </w:r>
            <w:r w:rsidRPr="008A7A27">
              <w:t>, anbefales for å sikre at leverandørene har rutiner for</w:t>
            </w:r>
            <w:r>
              <w:t>,</w:t>
            </w:r>
            <w:r w:rsidRPr="008A7A27">
              <w:t xml:space="preserve"> og </w:t>
            </w:r>
            <w:r>
              <w:t>utfører</w:t>
            </w:r>
            <w:r w:rsidRPr="008A7A27">
              <w:t xml:space="preserve"> aktsomhetsvurderinger i tråd med OECDs retningslinjer </w:t>
            </w:r>
            <w:r>
              <w:t xml:space="preserve">for </w:t>
            </w:r>
            <w:r w:rsidRPr="008A7A27">
              <w:t>ansvarlig næringsliv ved kontraktsinngåelse.</w:t>
            </w:r>
            <w:r>
              <w:t xml:space="preserve"> </w:t>
            </w:r>
          </w:p>
          <w:p w14:paraId="15C2000A" w14:textId="6A5DEDDC" w:rsidR="00570FB8" w:rsidRDefault="00570FB8" w:rsidP="00D847CB">
            <w:r>
              <w:t xml:space="preserve">Anbefalinger om hvordan </w:t>
            </w:r>
            <w:r w:rsidR="006E6626">
              <w:t xml:space="preserve">leverandører </w:t>
            </w:r>
            <w:r w:rsidR="002676FD">
              <w:t xml:space="preserve">skal </w:t>
            </w:r>
            <w:r w:rsidR="00502B15">
              <w:t xml:space="preserve">gjennomføre aktsomhetsvurderinger og hvordan </w:t>
            </w:r>
            <w:r>
              <w:t xml:space="preserve">Oppdragsgiver </w:t>
            </w:r>
            <w:r w:rsidR="00DD495B">
              <w:t xml:space="preserve">kan </w:t>
            </w:r>
            <w:r>
              <w:t xml:space="preserve">kontrollere </w:t>
            </w:r>
            <w:r w:rsidR="00502B15">
              <w:t xml:space="preserve">disse </w:t>
            </w:r>
            <w:r>
              <w:t xml:space="preserve">finnes hos </w:t>
            </w:r>
            <w:hyperlink r:id="rId16">
              <w:r w:rsidRPr="403EF5BC">
                <w:rPr>
                  <w:rStyle w:val="Hyperkobling"/>
                </w:rPr>
                <w:t>Norges kontaktpunkt for ansvarlig næringsliv.</w:t>
              </w:r>
            </w:hyperlink>
            <w:r>
              <w:t xml:space="preserve"> og hos </w:t>
            </w:r>
            <w:hyperlink r:id="rId17">
              <w:r w:rsidRPr="403EF5BC">
                <w:rPr>
                  <w:rStyle w:val="Hyperkobling"/>
                </w:rPr>
                <w:t>Forbrukertilsynet.</w:t>
              </w:r>
            </w:hyperlink>
          </w:p>
          <w:p w14:paraId="4E882B77" w14:textId="3DCA13A9" w:rsidR="00570FB8" w:rsidRPr="00AC1507" w:rsidRDefault="00570FB8" w:rsidP="00D847CB">
            <w:r w:rsidRPr="007A5B8E">
              <w:t>Oppdragsgiver kontrollere</w:t>
            </w:r>
            <w:r w:rsidR="003D004B">
              <w:t>r</w:t>
            </w:r>
            <w:r w:rsidRPr="007A5B8E">
              <w:t xml:space="preserve"> at </w:t>
            </w:r>
            <w:r w:rsidR="00096035">
              <w:t xml:space="preserve">leverandøren gjennomfører </w:t>
            </w:r>
            <w:r w:rsidR="00096035" w:rsidRPr="008A7A27">
              <w:t>aktsomhetsvurderinger i</w:t>
            </w:r>
            <w:r w:rsidR="008D3601">
              <w:t xml:space="preserve"> tråd med OECDs retningslinjer for ansvarlig næringsliv</w:t>
            </w:r>
            <w:r>
              <w:t>, men</w:t>
            </w:r>
            <w:r w:rsidRPr="007A5B8E">
              <w:t xml:space="preserve"> skal ikke vurdere </w:t>
            </w:r>
            <w:r w:rsidR="003D004B">
              <w:t xml:space="preserve">nivået </w:t>
            </w:r>
            <w:r w:rsidRPr="007A5B8E">
              <w:t>i aktsomhetsvurderingene</w:t>
            </w:r>
            <w:r>
              <w:t>. Det finnes</w:t>
            </w:r>
            <w:r w:rsidRPr="007A5B8E">
              <w:t xml:space="preserve"> ikke et definert minstenivå for hva som er en godkjent aktsomhetsvurdering</w:t>
            </w:r>
            <w:r>
              <w:t xml:space="preserve">, derfor ville en skjønnsmessig vurdering av </w:t>
            </w:r>
            <w:r w:rsidR="001C5078">
              <w:t xml:space="preserve">dette </w:t>
            </w:r>
            <w:r>
              <w:t xml:space="preserve">kvalifikasjonskrav risikere uheldige konsekvenser for konkurransen. </w:t>
            </w:r>
          </w:p>
        </w:tc>
      </w:tr>
      <w:tr w:rsidR="00570FB8" w:rsidRPr="00AC1507" w14:paraId="77807CEB" w14:textId="77777777" w:rsidTr="006F1D0C">
        <w:trPr>
          <w:trHeight w:val="1341"/>
        </w:trPr>
        <w:tc>
          <w:tcPr>
            <w:tcW w:w="2209"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auto"/>
          </w:tcPr>
          <w:p w14:paraId="4A562903" w14:textId="77777777" w:rsidR="00570FB8" w:rsidRPr="00AC1507" w:rsidRDefault="00570FB8" w:rsidP="00D847CB">
            <w:r>
              <w:t>Spørsmål:</w:t>
            </w:r>
          </w:p>
        </w:tc>
        <w:tc>
          <w:tcPr>
            <w:tcW w:w="6784"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auto"/>
          </w:tcPr>
          <w:p w14:paraId="66702676" w14:textId="43AC481B" w:rsidR="003C497D" w:rsidRPr="004A03A8" w:rsidRDefault="00570FB8" w:rsidP="00D716B9">
            <w:r>
              <w:t xml:space="preserve">Bør det lages veiledning om hva som </w:t>
            </w:r>
            <w:r w:rsidR="00DE407F">
              <w:t>bør</w:t>
            </w:r>
            <w:r>
              <w:t xml:space="preserve"> inkluderes som et minstenivå for aktsomhetsvurderinger for virksomheter som ikke er omfattet av åpenhetsloven</w:t>
            </w:r>
            <w:r w:rsidR="003C497D">
              <w:t>?</w:t>
            </w:r>
          </w:p>
        </w:tc>
      </w:tr>
    </w:tbl>
    <w:p w14:paraId="17452D79" w14:textId="77777777" w:rsidR="00570FB8" w:rsidRDefault="00570FB8" w:rsidP="00570FB8"/>
    <w:p w14:paraId="53EE3639" w14:textId="77777777" w:rsidR="00570FB8" w:rsidRDefault="00570FB8" w:rsidP="00570FB8">
      <w:pPr>
        <w:spacing w:line="278" w:lineRule="auto"/>
      </w:pPr>
      <w:r>
        <w:br w:type="page"/>
      </w:r>
    </w:p>
    <w:p w14:paraId="308AF9A8" w14:textId="035E9A9E" w:rsidR="00570FB8" w:rsidRPr="00AC1507" w:rsidRDefault="00570FB8" w:rsidP="004A03A8">
      <w:pPr>
        <w:pStyle w:val="Overskrift2"/>
      </w:pPr>
      <w:r>
        <w:lastRenderedPageBreak/>
        <w:t>Anbefalt kvalifikasjonskrav (2):</w:t>
      </w:r>
    </w:p>
    <w:p w14:paraId="5E9870EE" w14:textId="77777777" w:rsidR="00570FB8" w:rsidRDefault="00570FB8" w:rsidP="00570FB8"/>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57"/>
        <w:gridCol w:w="6897"/>
      </w:tblGrid>
      <w:tr w:rsidR="00570FB8" w:rsidRPr="00782E50" w14:paraId="7B352159" w14:textId="77777777" w:rsidTr="00D847CB">
        <w:trPr>
          <w:trHeight w:val="300"/>
        </w:trPr>
        <w:tc>
          <w:tcPr>
            <w:tcW w:w="215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tcPr>
          <w:p w14:paraId="19313E91" w14:textId="77777777" w:rsidR="00570FB8" w:rsidRDefault="00570FB8" w:rsidP="00D847CB">
            <w:pPr>
              <w:rPr>
                <w:color w:val="FFFFFF" w:themeColor="background1"/>
              </w:rPr>
            </w:pPr>
            <w:r>
              <w:rPr>
                <w:color w:val="FFFFFF" w:themeColor="background1"/>
              </w:rPr>
              <w:t>Kvalifikasjonskrav</w:t>
            </w:r>
          </w:p>
        </w:tc>
        <w:tc>
          <w:tcPr>
            <w:tcW w:w="689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tcPr>
          <w:p w14:paraId="113A0DEE" w14:textId="77777777" w:rsidR="00570FB8" w:rsidRPr="00782E50" w:rsidRDefault="00570FB8" w:rsidP="00D847CB">
            <w:pPr>
              <w:rPr>
                <w:color w:val="FFFFFF" w:themeColor="background1"/>
              </w:rPr>
            </w:pPr>
            <w:r>
              <w:rPr>
                <w:color w:val="FFFFFF" w:themeColor="background1"/>
              </w:rPr>
              <w:t xml:space="preserve">Sporbarhet i </w:t>
            </w:r>
            <w:r w:rsidRPr="2921766F">
              <w:rPr>
                <w:color w:val="FFFFFF" w:themeColor="background1"/>
              </w:rPr>
              <w:t>leverandørkjeden </w:t>
            </w:r>
          </w:p>
        </w:tc>
      </w:tr>
      <w:tr w:rsidR="00570FB8" w14:paraId="2A649A58" w14:textId="77777777" w:rsidTr="00D847CB">
        <w:trPr>
          <w:trHeight w:val="300"/>
        </w:trPr>
        <w:tc>
          <w:tcPr>
            <w:tcW w:w="2157"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404D54E2" w14:textId="77777777" w:rsidR="00570FB8" w:rsidRDefault="00570FB8" w:rsidP="00D847CB">
            <w:r>
              <w:t>Formål med kvalifikasjonskravet</w:t>
            </w:r>
          </w:p>
        </w:tc>
        <w:tc>
          <w:tcPr>
            <w:tcW w:w="6897"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71BE3E30" w14:textId="04ED8D2E" w:rsidR="00570FB8" w:rsidRDefault="00570FB8" w:rsidP="00D847CB">
            <w:r w:rsidRPr="00AC1507">
              <w:t>Formålet med kvalifikasjonskravet er å kontrollere at</w:t>
            </w:r>
            <w:r>
              <w:t xml:space="preserve"> leverandøren kan dokumentere at de har sporbarhet i leverandørkjeden</w:t>
            </w:r>
            <w:r w:rsidR="002E3D5A">
              <w:t xml:space="preserve"> for kontraktens gjenstand</w:t>
            </w:r>
            <w:r>
              <w:t>.</w:t>
            </w:r>
          </w:p>
        </w:tc>
      </w:tr>
      <w:tr w:rsidR="00570FB8" w14:paraId="5C3A72AC"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tcPr>
          <w:p w14:paraId="7081F2D0" w14:textId="15826C86" w:rsidR="00570FB8" w:rsidRDefault="00570FB8" w:rsidP="00D847CB">
            <w:r>
              <w:t>Formulering av kvalifikasjonskravet</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tcPr>
          <w:p w14:paraId="444D1564" w14:textId="77777777" w:rsidR="00570FB8" w:rsidRDefault="00570FB8" w:rsidP="00D847CB">
            <w:r>
              <w:t>Leverandøren skal redegjøre firmanavn, adresse og kontaktinformasjon for produksjonsenhet(er) hvor sammenstilling (det</w:t>
            </w:r>
            <w:r w:rsidRPr="00EE4483">
              <w:t xml:space="preserve"> siste </w:t>
            </w:r>
            <w:r>
              <w:t>leddet</w:t>
            </w:r>
            <w:r w:rsidRPr="00EE4483">
              <w:t xml:space="preserve"> i produksjonsprosessen der komponenter og deler settes sammen til </w:t>
            </w:r>
            <w:r>
              <w:t>d</w:t>
            </w:r>
            <w:r w:rsidRPr="00EE4483">
              <w:t>et ferdig</w:t>
            </w:r>
            <w:r>
              <w:t>e</w:t>
            </w:r>
            <w:r w:rsidRPr="00EE4483">
              <w:t xml:space="preserve"> produkt</w:t>
            </w:r>
            <w:r>
              <w:t>et) skjer.</w:t>
            </w:r>
          </w:p>
        </w:tc>
      </w:tr>
      <w:tr w:rsidR="00570FB8" w14:paraId="672F6BA9"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494E060D" w14:textId="77777777" w:rsidR="00570FB8" w:rsidRDefault="00570FB8" w:rsidP="00D847CB">
            <w:r>
              <w:t>Dokumentasjon: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514B0B32" w14:textId="54EF6138" w:rsidR="00570FB8" w:rsidRDefault="00570FB8" w:rsidP="00D847CB">
            <w:r>
              <w:t>Leverandør</w:t>
            </w:r>
            <w:r w:rsidR="005D0E13">
              <w:t>en</w:t>
            </w:r>
            <w:r>
              <w:t xml:space="preserve"> fyller ut produksjonsenheter i produktskjemaet, for følgende utvalgte produkter: […]</w:t>
            </w:r>
          </w:p>
          <w:p w14:paraId="46F95B46" w14:textId="77777777" w:rsidR="00570FB8" w:rsidRDefault="00570FB8" w:rsidP="00D847CB">
            <w:r>
              <w:t>L</w:t>
            </w:r>
            <w:r w:rsidRPr="00DB6044">
              <w:t xml:space="preserve">everandøren redegjør for firmanavn, adresse og kontaktinformasjon </w:t>
            </w:r>
            <w:r>
              <w:t>for produksjonsenhet(ene) hvor oppgitte produkter: [x,y,z] er tilvirket.</w:t>
            </w:r>
          </w:p>
        </w:tc>
      </w:tr>
      <w:tr w:rsidR="00570FB8" w14:paraId="18013727"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tcPr>
          <w:p w14:paraId="21422D6E" w14:textId="478A1863" w:rsidR="00570FB8" w:rsidRPr="000F2D19" w:rsidRDefault="00570FB8" w:rsidP="00D847CB">
            <w:r w:rsidRPr="000F2D19">
              <w:t xml:space="preserve">Informasjon om </w:t>
            </w:r>
            <w:r>
              <w:t>kvalifikasjonskravet</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tcPr>
          <w:p w14:paraId="02D5922E" w14:textId="77777777" w:rsidR="00570FB8" w:rsidRDefault="00570FB8" w:rsidP="00D847CB">
            <w:r>
              <w:t xml:space="preserve">Enkelte industrier og bransjer har utviklet høy grad av sporbarhet.  Etter matinformasjonsforskriften, skal blant annet frukt, grønnsaker og ferdigforpakkede matvarer være merket med opprinnelsesland og diverse andre krav til sporbarhet i leverandørkjeden. </w:t>
            </w:r>
          </w:p>
          <w:p w14:paraId="5655B18C" w14:textId="77777777" w:rsidR="00570FB8" w:rsidRDefault="00570FB8" w:rsidP="00D847CB">
            <w:r>
              <w:t xml:space="preserve">Produktkontrolloven, som omfatter alle produkter som kan føre til helseskade eller miljøforstyrrelse , krever sporbarhet i leverandørkjeden. Omfattede virksomheter </w:t>
            </w:r>
            <w:r w:rsidRPr="00896509">
              <w:t xml:space="preserve">må ha systemer på plass for å dokumentere og spore produktenes opprinnelse og bevegelser gjennom </w:t>
            </w:r>
            <w:r>
              <w:t xml:space="preserve">leverandørkjeden. </w:t>
            </w:r>
            <w:r w:rsidRPr="003A33CB">
              <w:t xml:space="preserve">Andre industrier og bransjer har ikke hatt samme plikt til å redegjøre for sporbarhet. </w:t>
            </w:r>
          </w:p>
          <w:p w14:paraId="3089229A" w14:textId="77777777" w:rsidR="00570FB8" w:rsidRPr="00444A76" w:rsidRDefault="00570FB8" w:rsidP="00D847CB">
            <w:pPr>
              <w:spacing w:line="276" w:lineRule="auto"/>
            </w:pPr>
            <w:r w:rsidRPr="003A33CB">
              <w:t xml:space="preserve">I en tid preget av krig og konflikt er sikkerhet og beredskap i forhold til ansvarlig og bærekraftig styring av leverandørkjeder et sentralt tema. Et minste nivå av sporbarhet bør derfor være til sammenstillingsledd i leverandørkjeden. </w:t>
            </w:r>
            <w:r w:rsidRPr="6DFA7622">
              <w:rPr>
                <w:rFonts w:eastAsiaTheme="minorEastAsia"/>
              </w:rPr>
              <w:t xml:space="preserve">Det er </w:t>
            </w:r>
            <w:r>
              <w:rPr>
                <w:rFonts w:eastAsiaTheme="minorEastAsia"/>
              </w:rPr>
              <w:t xml:space="preserve">derfor viktig </w:t>
            </w:r>
            <w:r w:rsidRPr="6DFA7622">
              <w:rPr>
                <w:rFonts w:eastAsiaTheme="minorEastAsia"/>
              </w:rPr>
              <w:t xml:space="preserve">at </w:t>
            </w:r>
            <w:r>
              <w:rPr>
                <w:rFonts w:eastAsiaTheme="minorEastAsia"/>
              </w:rPr>
              <w:t>oppdragsgiver</w:t>
            </w:r>
            <w:r w:rsidRPr="6DFA7622">
              <w:rPr>
                <w:rFonts w:eastAsiaTheme="minorEastAsia"/>
              </w:rPr>
              <w:t xml:space="preserve"> forsikrer seg om at leverandørene har kunnskap om leverandørkjeden, fordi produkter og komponenter kan vise seg å være ulovlig fremstilte</w:t>
            </w:r>
            <w:r>
              <w:rPr>
                <w:rFonts w:eastAsiaTheme="minorEastAsia"/>
              </w:rPr>
              <w:t xml:space="preserve"> eller inneholde helsefarlige stoffer. Det finnes en rekke selskaper som kan vise til sporbarhet i hele leverandørkjeden. </w:t>
            </w:r>
          </w:p>
        </w:tc>
      </w:tr>
      <w:tr w:rsidR="00570FB8" w14:paraId="5933A734"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01AD9868" w14:textId="77777777" w:rsidR="00570FB8" w:rsidRPr="000F2D19" w:rsidRDefault="00570FB8" w:rsidP="00D847CB">
            <w:r>
              <w:t>Spørsmål:</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08C61D85" w14:textId="77777777" w:rsidR="00570FB8" w:rsidRPr="000256EE" w:rsidRDefault="00570FB8" w:rsidP="00D847CB">
            <w:pPr>
              <w:pStyle w:val="Listeavsnitt"/>
              <w:numPr>
                <w:ilvl w:val="0"/>
                <w:numId w:val="25"/>
              </w:numPr>
              <w:spacing w:line="276" w:lineRule="auto"/>
              <w:rPr>
                <w:rFonts w:eastAsiaTheme="minorEastAsia"/>
              </w:rPr>
            </w:pPr>
            <w:r>
              <w:rPr>
                <w:rFonts w:eastAsiaTheme="minorEastAsia"/>
              </w:rPr>
              <w:t>Kan det være r</w:t>
            </w:r>
            <w:r w:rsidRPr="00317516">
              <w:rPr>
                <w:rFonts w:eastAsiaTheme="minorEastAsia"/>
              </w:rPr>
              <w:t xml:space="preserve">imelig å </w:t>
            </w:r>
            <w:r>
              <w:rPr>
                <w:rFonts w:eastAsiaTheme="minorEastAsia"/>
              </w:rPr>
              <w:t>bruke et kvalifikasjonskrav der</w:t>
            </w:r>
            <w:r w:rsidRPr="00317516">
              <w:rPr>
                <w:rFonts w:eastAsiaTheme="minorEastAsia"/>
              </w:rPr>
              <w:t xml:space="preserve"> </w:t>
            </w:r>
            <w:r w:rsidRPr="000256EE">
              <w:rPr>
                <w:rFonts w:eastAsiaTheme="minorEastAsia"/>
              </w:rPr>
              <w:t xml:space="preserve">leverandører skal redegjøre for produksjonssted lenger ned </w:t>
            </w:r>
            <w:r>
              <w:rPr>
                <w:rFonts w:eastAsiaTheme="minorEastAsia"/>
              </w:rPr>
              <w:t xml:space="preserve">i leverandørkjeden </w:t>
            </w:r>
            <w:r w:rsidRPr="000256EE">
              <w:rPr>
                <w:rFonts w:eastAsiaTheme="minorEastAsia"/>
              </w:rPr>
              <w:t>enn sammenstillingsleddet?</w:t>
            </w:r>
            <w:r>
              <w:rPr>
                <w:rFonts w:eastAsiaTheme="minorEastAsia"/>
              </w:rPr>
              <w:t xml:space="preserve"> Hvis ja, for hvilke produktkategorier kan dette være forholdsmessig?</w:t>
            </w:r>
          </w:p>
          <w:p w14:paraId="33671BF5" w14:textId="77777777" w:rsidR="00570FB8" w:rsidRDefault="00570FB8" w:rsidP="00D847CB">
            <w:pPr>
              <w:pStyle w:val="Listeavsnitt"/>
              <w:numPr>
                <w:ilvl w:val="0"/>
                <w:numId w:val="25"/>
              </w:numPr>
              <w:spacing w:line="276" w:lineRule="auto"/>
              <w:rPr>
                <w:rFonts w:eastAsiaTheme="minorEastAsia"/>
              </w:rPr>
            </w:pPr>
            <w:r>
              <w:rPr>
                <w:rFonts w:eastAsiaTheme="minorEastAsia"/>
              </w:rPr>
              <w:t>Når er det forholdsmessig å avvise leverandører som ikke oppfyller kvalifikasjonskravene til sporbarhet i leverandørkjeden?</w:t>
            </w:r>
          </w:p>
          <w:p w14:paraId="403F5884" w14:textId="5A885AC1" w:rsidR="00570FB8" w:rsidRPr="004219D4" w:rsidRDefault="00570FB8" w:rsidP="00D847CB">
            <w:pPr>
              <w:pStyle w:val="Listeavsnitt"/>
              <w:numPr>
                <w:ilvl w:val="0"/>
                <w:numId w:val="25"/>
              </w:numPr>
              <w:spacing w:line="276" w:lineRule="auto"/>
              <w:rPr>
                <w:rFonts w:eastAsiaTheme="minorEastAsia"/>
              </w:rPr>
            </w:pPr>
            <w:r w:rsidRPr="00317516">
              <w:rPr>
                <w:rFonts w:eastAsiaTheme="minorEastAsia"/>
              </w:rPr>
              <w:t xml:space="preserve">Hvordan skal oppdragsgiver forholde seg til merkevareprodusenter som ikke er villige å oppgi produksjonssted, tross at slik informasjon er belagt med taushetsplikt og unntatt offentligheten? </w:t>
            </w:r>
          </w:p>
        </w:tc>
      </w:tr>
    </w:tbl>
    <w:p w14:paraId="2DA25B45" w14:textId="77777777" w:rsidR="00570FB8" w:rsidRDefault="00570FB8" w:rsidP="00570FB8">
      <w:pPr>
        <w:pStyle w:val="Overskrift2"/>
      </w:pPr>
      <w:r w:rsidRPr="00AC1507">
        <w:t> </w:t>
      </w:r>
    </w:p>
    <w:p w14:paraId="489436B0" w14:textId="77777777" w:rsidR="00570FB8" w:rsidRDefault="00570FB8" w:rsidP="00570FB8">
      <w:pPr>
        <w:spacing w:line="278" w:lineRule="auto"/>
        <w:rPr>
          <w:rFonts w:asciiTheme="majorHAnsi" w:eastAsiaTheme="majorEastAsia" w:hAnsiTheme="majorHAnsi" w:cstheme="majorBidi"/>
          <w:color w:val="0F4761" w:themeColor="accent1" w:themeShade="BF"/>
          <w:sz w:val="32"/>
          <w:szCs w:val="32"/>
        </w:rPr>
      </w:pPr>
      <w:r>
        <w:br w:type="page"/>
      </w:r>
    </w:p>
    <w:p w14:paraId="7902E8DB" w14:textId="77777777" w:rsidR="00570FB8" w:rsidRPr="006F441F" w:rsidRDefault="00570FB8" w:rsidP="00570FB8">
      <w:pPr>
        <w:pStyle w:val="Overskrift2"/>
      </w:pPr>
      <w:r>
        <w:lastRenderedPageBreak/>
        <w:t>Anbefalt kravspesifikasjon:</w:t>
      </w:r>
    </w:p>
    <w:p w14:paraId="7FAC217A" w14:textId="77777777" w:rsidR="00570FB8" w:rsidRPr="00AC1507" w:rsidRDefault="00570FB8" w:rsidP="00570FB8"/>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6897"/>
      </w:tblGrid>
      <w:tr w:rsidR="00570FB8" w:rsidRPr="00AC1507" w14:paraId="58A70CF2" w14:textId="77777777" w:rsidTr="00D847CB">
        <w:trPr>
          <w:trHeight w:val="360"/>
        </w:trPr>
        <w:tc>
          <w:tcPr>
            <w:tcW w:w="215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098D3258" w14:textId="77777777" w:rsidR="00570FB8" w:rsidRPr="00025129" w:rsidRDefault="00570FB8" w:rsidP="00D847CB">
            <w:pPr>
              <w:rPr>
                <w:color w:val="FFFFFF" w:themeColor="background1"/>
              </w:rPr>
            </w:pPr>
            <w:r w:rsidRPr="00025129">
              <w:rPr>
                <w:color w:val="FFFFFF" w:themeColor="background1"/>
              </w:rPr>
              <w:t>Kravspesifikasjon  </w:t>
            </w:r>
          </w:p>
        </w:tc>
        <w:tc>
          <w:tcPr>
            <w:tcW w:w="689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08D1188A" w14:textId="77777777" w:rsidR="00570FB8" w:rsidRPr="00025129" w:rsidRDefault="00570FB8" w:rsidP="00D847CB">
            <w:pPr>
              <w:rPr>
                <w:color w:val="FFFFFF" w:themeColor="background1"/>
              </w:rPr>
            </w:pPr>
            <w:r w:rsidRPr="403EF5BC">
              <w:rPr>
                <w:color w:val="FFFFFF" w:themeColor="background1"/>
              </w:rPr>
              <w:t>Bærekraftig produksjon </w:t>
            </w:r>
          </w:p>
        </w:tc>
      </w:tr>
      <w:tr w:rsidR="00570FB8" w:rsidRPr="00AC1507" w14:paraId="5BA5A961" w14:textId="77777777" w:rsidTr="00D847CB">
        <w:trPr>
          <w:trHeight w:val="495"/>
        </w:trPr>
        <w:tc>
          <w:tcPr>
            <w:tcW w:w="2157"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1BA87D34" w14:textId="77777777" w:rsidR="00570FB8" w:rsidRPr="00AC1507" w:rsidRDefault="00570FB8" w:rsidP="00D847CB">
            <w:r w:rsidRPr="00AC1507">
              <w:t>Formål med kra</w:t>
            </w:r>
            <w:r>
              <w:t xml:space="preserve">vspesifikasjonen </w:t>
            </w:r>
          </w:p>
        </w:tc>
        <w:tc>
          <w:tcPr>
            <w:tcW w:w="6897"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29D7ECD6" w14:textId="7CE6B13C" w:rsidR="00570FB8" w:rsidRPr="00AC1507" w:rsidRDefault="00FA2B1D" w:rsidP="00D847CB">
            <w:r>
              <w:t>Formålet</w:t>
            </w:r>
            <w:r w:rsidRPr="00AC1507">
              <w:t xml:space="preserve"> er</w:t>
            </w:r>
            <w:r>
              <w:t xml:space="preserve"> at</w:t>
            </w:r>
            <w:r w:rsidR="002E3D5A">
              <w:t xml:space="preserve"> </w:t>
            </w:r>
            <w:r>
              <w:t>leverandør</w:t>
            </w:r>
            <w:r w:rsidR="00D944C3">
              <w:t>en</w:t>
            </w:r>
            <w:r>
              <w:t xml:space="preserve"> kan dokumentere </w:t>
            </w:r>
            <w:r w:rsidRPr="00AC1507">
              <w:t xml:space="preserve">at </w:t>
            </w:r>
            <w:r>
              <w:t xml:space="preserve">kontraktens gjenstand er bærekraftig produsert med respekt for </w:t>
            </w:r>
            <w:r w:rsidRPr="00AC1507">
              <w:t>grunnleggende menneskerettigheter</w:t>
            </w:r>
            <w:r>
              <w:t>, arbeidstakerrettigheter, miljøhensyn og antikorrupsjon.</w:t>
            </w:r>
          </w:p>
        </w:tc>
      </w:tr>
      <w:tr w:rsidR="00570FB8" w:rsidRPr="00AC1507" w14:paraId="10D0C9C9" w14:textId="77777777" w:rsidTr="00D847CB">
        <w:trPr>
          <w:trHeight w:val="6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7D5FCDB2" w14:textId="77777777" w:rsidR="00570FB8" w:rsidRPr="00AC1507" w:rsidRDefault="00570FB8" w:rsidP="00D847CB">
            <w:r w:rsidRPr="00AC1507">
              <w:t>Formulering av krav</w:t>
            </w:r>
            <w:r>
              <w:t>spesifikasjonen</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6D362311" w14:textId="6972681D" w:rsidR="00570FB8" w:rsidRDefault="00C6639C" w:rsidP="00D847CB">
            <w:r>
              <w:t xml:space="preserve">Kontraktens gjenstand </w:t>
            </w:r>
            <w:r w:rsidR="00570FB8" w:rsidRPr="00AC1507">
              <w:t>skal være</w:t>
            </w:r>
            <w:r w:rsidR="00570FB8">
              <w:t xml:space="preserve"> bærekraftig produsert</w:t>
            </w:r>
            <w:r w:rsidR="00570FB8" w:rsidRPr="00AC1507">
              <w:t>. </w:t>
            </w:r>
            <w:r w:rsidR="00570FB8">
              <w:t xml:space="preserve"> Punkt 1 i DFØ og EHNs </w:t>
            </w:r>
            <w:r w:rsidR="008C2A54">
              <w:t xml:space="preserve">foreslåtte </w:t>
            </w:r>
            <w:r w:rsidR="00570FB8">
              <w:t>kontraktsvilkår for bærekraftige leverandørkjeder</w:t>
            </w:r>
            <w:r w:rsidR="00A35B62">
              <w:t xml:space="preserve"> skal</w:t>
            </w:r>
            <w:r w:rsidR="00570FB8">
              <w:t xml:space="preserve"> </w:t>
            </w:r>
            <w:r w:rsidR="008C2A54">
              <w:t>etterleves.</w:t>
            </w:r>
          </w:p>
          <w:p w14:paraId="50EC3597" w14:textId="77777777" w:rsidR="00570FB8" w:rsidRPr="00AC1507" w:rsidRDefault="00570FB8" w:rsidP="00D847CB"/>
        </w:tc>
      </w:tr>
      <w:tr w:rsidR="00570FB8" w:rsidRPr="00AC1507" w14:paraId="210BD3F8"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34D9D506" w14:textId="77777777" w:rsidR="00570FB8" w:rsidRPr="00E56AB2" w:rsidRDefault="00570FB8" w:rsidP="00D847CB">
            <w:r w:rsidRPr="00E56AB2">
              <w:t>Dokumentasjon: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23CE1914" w14:textId="232AD7C0" w:rsidR="00570FB8" w:rsidRDefault="00570FB8" w:rsidP="00D847CB">
            <w:r w:rsidRPr="00AC2701">
              <w:t>Leverandør</w:t>
            </w:r>
            <w:r w:rsidR="00D944C3">
              <w:t>en</w:t>
            </w:r>
            <w:r w:rsidRPr="00AC2701">
              <w:t xml:space="preserve"> skal fylle inn i produktskjema</w:t>
            </w:r>
            <w:r>
              <w:t>et</w:t>
            </w:r>
            <w:r w:rsidRPr="00AC2701">
              <w:t xml:space="preserve"> hvilke </w:t>
            </w:r>
            <w:r>
              <w:t xml:space="preserve">av de utvalgte </w:t>
            </w:r>
            <w:r w:rsidRPr="00AC2701">
              <w:t>produkte</w:t>
            </w:r>
            <w:r>
              <w:t xml:space="preserve">ne </w:t>
            </w:r>
            <w:r w:rsidRPr="00AC2701">
              <w:t xml:space="preserve">som er </w:t>
            </w:r>
            <w:r>
              <w:t>kontrollert bærekraftig produksjon og oppgi hvilken dokumentasjon som bekrefter dette</w:t>
            </w:r>
            <w:r w:rsidRPr="00AC2701">
              <w:t>.</w:t>
            </w:r>
          </w:p>
          <w:p w14:paraId="34A4DC33" w14:textId="77777777" w:rsidR="00570FB8" w:rsidRDefault="00570FB8" w:rsidP="00D847CB">
            <w:r>
              <w:t xml:space="preserve">I produktskjemaet skal det krysses av for hvilke av de utvalgte produktene som enten har en merkeordning (for eksempel TCO Certified, Fairtrade or </w:t>
            </w:r>
            <w:r w:rsidRPr="00591FED">
              <w:t>OEKO-TEX Standard 100</w:t>
            </w:r>
            <w:r>
              <w:t>) som bekrefter at produktet er bærekraftig produsert, eller som har dokumentasjon som viser at produksjonsenheten hvor produktet er produsert, er kontrollert for bærekraftig produksjon.</w:t>
            </w:r>
          </w:p>
          <w:p w14:paraId="33A05264" w14:textId="77777777" w:rsidR="00570FB8" w:rsidRPr="00E56AB2" w:rsidRDefault="00570FB8" w:rsidP="00D847CB">
            <w:r>
              <w:t xml:space="preserve">Dokumentasjon av hvorvidt produktene er bærekraftig produsert er en merkeordning som er fastsatt av tredjepart uavhengig anerkjent organisasjon. Merkeordningen skal være godkjent av International Trade Center og finnes søkbar i  </w:t>
            </w:r>
            <w:hyperlink r:id="rId18">
              <w:r w:rsidRPr="531726B3">
                <w:rPr>
                  <w:rStyle w:val="Hyperkobling"/>
                  <w:u w:val="none"/>
                </w:rPr>
                <w:t>StandardsMap</w:t>
              </w:r>
            </w:hyperlink>
          </w:p>
          <w:p w14:paraId="28859335" w14:textId="0B8EF802" w:rsidR="00570FB8" w:rsidRDefault="00570FB8" w:rsidP="00D847CB">
            <w:r w:rsidRPr="00E56AB2">
              <w:t>Annen</w:t>
            </w:r>
            <w:r>
              <w:t xml:space="preserve"> </w:t>
            </w:r>
            <w:r w:rsidRPr="00E56AB2">
              <w:t>dokumentasjon</w:t>
            </w:r>
            <w:r>
              <w:t xml:space="preserve"> som kan brukes:</w:t>
            </w:r>
            <w:r w:rsidRPr="00E56AB2">
              <w:t> </w:t>
            </w:r>
          </w:p>
          <w:p w14:paraId="276D19AB" w14:textId="77777777" w:rsidR="00570FB8" w:rsidRDefault="00570FB8" w:rsidP="00D847CB">
            <w:pPr>
              <w:pStyle w:val="Listeavsnitt"/>
              <w:numPr>
                <w:ilvl w:val="0"/>
                <w:numId w:val="22"/>
              </w:numPr>
            </w:pPr>
            <w:r>
              <w:t xml:space="preserve">Dokumentasjon som tilsier at kontraktens gjenstand er produsert på en produksjonsenhet er SA8000 sertifisert, har signert </w:t>
            </w:r>
            <w:r w:rsidRPr="00CD27BD">
              <w:t xml:space="preserve">The Accord on </w:t>
            </w:r>
            <w:proofErr w:type="gramStart"/>
            <w:r w:rsidRPr="00CD27BD">
              <w:t>Fire and</w:t>
            </w:r>
            <w:proofErr w:type="gramEnd"/>
            <w:r w:rsidRPr="00CD27BD">
              <w:t xml:space="preserve"> Building Safety in Bangladesh</w:t>
            </w:r>
            <w:r>
              <w:t xml:space="preserve">, </w:t>
            </w:r>
            <w:r w:rsidRPr="006613A5">
              <w:t>The Pakistan Accord on Health and Safety in the Textile and Garment Industry</w:t>
            </w:r>
            <w:r>
              <w:t>, eller tilsvarende.</w:t>
            </w:r>
          </w:p>
          <w:p w14:paraId="1F7E7E8E" w14:textId="77777777" w:rsidR="00570FB8" w:rsidRDefault="00570FB8" w:rsidP="00D847CB">
            <w:pPr>
              <w:pStyle w:val="Listeavsnitt"/>
              <w:numPr>
                <w:ilvl w:val="0"/>
                <w:numId w:val="22"/>
              </w:numPr>
            </w:pPr>
            <w:r>
              <w:t>Dokumentasjon som tilsier at kontraktens gjenstand kommer fra en produksjonsenhet med et anerkjent HMS ledelsessystem (for eksempel ISO45001) eller anerkjent miljøledelsessystem (for eksempel ISO14001).</w:t>
            </w:r>
          </w:p>
          <w:p w14:paraId="52C9C15C" w14:textId="77777777" w:rsidR="00570FB8" w:rsidRPr="00E56AB2" w:rsidRDefault="00570FB8" w:rsidP="00D847CB">
            <w:pPr>
              <w:pStyle w:val="Listeavsnitt"/>
              <w:numPr>
                <w:ilvl w:val="0"/>
                <w:numId w:val="22"/>
              </w:numPr>
            </w:pPr>
            <w:r>
              <w:t>R</w:t>
            </w:r>
            <w:r w:rsidRPr="00E56AB2">
              <w:t>evisjon</w:t>
            </w:r>
            <w:r>
              <w:t xml:space="preserve">sdokumentasjon basert på </w:t>
            </w:r>
            <w:r w:rsidRPr="00AC2701">
              <w:t xml:space="preserve">SA8000 eller </w:t>
            </w:r>
            <w:r w:rsidRPr="00E56AB2">
              <w:t>SM</w:t>
            </w:r>
            <w:r w:rsidRPr="00AC2701">
              <w:t>E</w:t>
            </w:r>
            <w:r w:rsidRPr="00E56AB2">
              <w:t>TA 4-pillar revisjonsprotokoll</w:t>
            </w:r>
            <w:r>
              <w:t>,</w:t>
            </w:r>
            <w:r w:rsidRPr="00E56AB2">
              <w:t xml:space="preserve"> eller tilsvarende</w:t>
            </w:r>
            <w:r w:rsidRPr="00AC2701">
              <w:t xml:space="preserve"> internasjonalt anerkjent revisjonsprotokoll</w:t>
            </w:r>
            <w:r w:rsidRPr="00E56AB2">
              <w:t xml:space="preserve">. </w:t>
            </w:r>
            <w:r w:rsidRPr="00AC2701">
              <w:t xml:space="preserve">Revisjonene skal gjennomføres </w:t>
            </w:r>
            <w:r>
              <w:t xml:space="preserve">av revisor som er </w:t>
            </w:r>
            <w:r w:rsidRPr="00E56AB2">
              <w:t>tredjepartssertifisert</w:t>
            </w:r>
            <w:r>
              <w:t xml:space="preserve"> </w:t>
            </w:r>
            <w:r w:rsidRPr="00E56AB2">
              <w:t xml:space="preserve">av </w:t>
            </w:r>
            <w:r w:rsidRPr="00AC2701">
              <w:t>SAAS, AAC</w:t>
            </w:r>
            <w:r>
              <w:t xml:space="preserve">, ISO19011 </w:t>
            </w:r>
            <w:r w:rsidRPr="00E56AB2">
              <w:t>eller tilsvarende.</w:t>
            </w:r>
            <w:r>
              <w:t xml:space="preserve"> Dokumentasjonen får ikke være eldre enn 12 måneder.</w:t>
            </w:r>
          </w:p>
        </w:tc>
      </w:tr>
      <w:tr w:rsidR="00570FB8" w:rsidRPr="00AC1507" w14:paraId="312F5DF8"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5DCF99FF" w14:textId="77777777" w:rsidR="00570FB8" w:rsidRPr="00AC1507" w:rsidRDefault="00570FB8" w:rsidP="00D847CB">
            <w:r w:rsidRPr="00AC1507">
              <w:t xml:space="preserve">Informasjon om </w:t>
            </w:r>
            <w:r>
              <w:t>kravspesifikasjonen</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283BBA3D" w14:textId="03ADC8E3" w:rsidR="00570FB8" w:rsidRDefault="00570FB8" w:rsidP="00D847CB">
            <w:r>
              <w:t>Gjennom markedsundersøkelser kan oppdragsgiver undersøke om leverandørene kan tilby produkter med merkeordning eller om det gjennomføres tredjepartsrevisjon ved produksjonsenhetene. Dette minsker dokumentasjonsbyrden for leverandørene og frigjør tid for oppdragsgiver.</w:t>
            </w:r>
          </w:p>
          <w:p w14:paraId="16647C72" w14:textId="685BC8EE" w:rsidR="00570FB8" w:rsidRDefault="00570FB8" w:rsidP="00D847CB">
            <w:r>
              <w:t xml:space="preserve">Markedsdialog er viktig ved bruk av dette krav. </w:t>
            </w:r>
            <w:r w:rsidR="00733606" w:rsidRPr="00733606">
              <w:t>Hvis det ikke er tilstrekkelig antall leverandører som kan oppfylle kravet, kan tildelingskriterier brukes til å premiere leverandører som kan tilby bærekraftig produserte varer. Alternativt kan man premiere leverandører som kan tilby et større antall bærekraftig produserte varer enn det som stilles krav til.</w:t>
            </w:r>
          </w:p>
          <w:p w14:paraId="7A949544" w14:textId="1D35D30C" w:rsidR="00570FB8" w:rsidRPr="00AC1507" w:rsidRDefault="00570FB8" w:rsidP="003C497D">
            <w:r>
              <w:t xml:space="preserve">Etisk handel Norge har </w:t>
            </w:r>
            <w:hyperlink r:id="rId19" w:history="1">
              <w:r w:rsidRPr="003C497D">
                <w:rPr>
                  <w:rStyle w:val="Hyperkobling"/>
                </w:rPr>
                <w:t>oversikt</w:t>
              </w:r>
            </w:hyperlink>
            <w:r>
              <w:t xml:space="preserve"> over sertifiserings- og merkeordninger for bærekraftig produksjon</w:t>
            </w:r>
            <w:r w:rsidR="00733606">
              <w:t>.</w:t>
            </w:r>
            <w:r>
              <w:t xml:space="preserve"> </w:t>
            </w:r>
          </w:p>
        </w:tc>
      </w:tr>
      <w:tr w:rsidR="00570FB8" w:rsidRPr="00AC1507" w14:paraId="440908F0"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0134CE23" w14:textId="77777777" w:rsidR="00570FB8" w:rsidRPr="00AC1507" w:rsidRDefault="00570FB8" w:rsidP="00D847CB">
            <w:r>
              <w:t>Spørsmål:</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037BC8E8" w14:textId="4A72B10F" w:rsidR="009A3935" w:rsidRDefault="00570FB8" w:rsidP="00D847CB">
            <w:r>
              <w:t xml:space="preserve">For å oppfylle kravet til bærekraftig produksjon: </w:t>
            </w:r>
            <w:r w:rsidRPr="004E522E">
              <w:t xml:space="preserve">Bør hver </w:t>
            </w:r>
            <w:r>
              <w:t xml:space="preserve">enkelt </w:t>
            </w:r>
            <w:r w:rsidRPr="004E522E">
              <w:t>produksjonsenhet revideres for bærekraftig produksjon eller er det tilstrekkelig å gjennomføre stikkprøver på enkelte produksjonsenheter?</w:t>
            </w:r>
            <w:r>
              <w:t xml:space="preserve"> </w:t>
            </w:r>
          </w:p>
          <w:p w14:paraId="6E1202F9" w14:textId="272D32E6" w:rsidR="009A3935" w:rsidRDefault="00570FB8" w:rsidP="00D847CB">
            <w:r>
              <w:t xml:space="preserve">Eksempelvis tilbyr kaffeleverandører kaffe som 100% produsert på plantasjer som er 3.partsrevidert for bærekraftig produksjon. Det tilbys også kaffe der det har blitt </w:t>
            </w:r>
            <w:r>
              <w:lastRenderedPageBreak/>
              <w:t>gjennomfør</w:t>
            </w:r>
            <w:r w:rsidR="0055518F">
              <w:t xml:space="preserve">t </w:t>
            </w:r>
            <w:r>
              <w:t xml:space="preserve">stikkprøve-revisjoner på enkelte av plantasjene. </w:t>
            </w:r>
            <w:r w:rsidR="0055518F">
              <w:t xml:space="preserve">Det vil si at </w:t>
            </w:r>
            <w:r w:rsidR="004D4DA2">
              <w:t xml:space="preserve">det er kaffe fra plantasjer som ikke blitt revidert </w:t>
            </w:r>
            <w:r w:rsidR="009A3935">
              <w:t xml:space="preserve">som er blandet med kaffe fra reviderte plantasjer. </w:t>
            </w:r>
          </w:p>
        </w:tc>
      </w:tr>
    </w:tbl>
    <w:p w14:paraId="29A8AA0B" w14:textId="0C4CB37D" w:rsidR="00570FB8" w:rsidRDefault="0055518F" w:rsidP="00570FB8">
      <w:pPr>
        <w:spacing w:line="278" w:lineRule="auto"/>
      </w:pPr>
      <w:r>
        <w:lastRenderedPageBreak/>
        <w:t xml:space="preserve"> </w:t>
      </w:r>
    </w:p>
    <w:p w14:paraId="6430C592" w14:textId="77777777" w:rsidR="004A03A8" w:rsidRDefault="004A03A8" w:rsidP="00570FB8">
      <w:pPr>
        <w:pStyle w:val="Overskrift2"/>
      </w:pPr>
    </w:p>
    <w:p w14:paraId="46902D14" w14:textId="5384B87D" w:rsidR="00570FB8" w:rsidRPr="006F441F" w:rsidRDefault="00570FB8" w:rsidP="002379B8">
      <w:pPr>
        <w:pStyle w:val="Overskrift2"/>
        <w:tabs>
          <w:tab w:val="left" w:pos="7920"/>
        </w:tabs>
      </w:pPr>
      <w:r>
        <w:t>Anbefalt tildelingskriterium (1):</w:t>
      </w:r>
      <w:r w:rsidR="002379B8">
        <w:tab/>
      </w:r>
    </w:p>
    <w:p w14:paraId="241E443D" w14:textId="77777777" w:rsidR="00570FB8" w:rsidRDefault="00570FB8" w:rsidP="00570FB8">
      <w:pPr>
        <w:spacing w:line="278" w:lineRule="auto"/>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7049"/>
      </w:tblGrid>
      <w:tr w:rsidR="00570FB8" w:rsidRPr="00AC1507" w14:paraId="504E1F32" w14:textId="77777777" w:rsidTr="00D847CB">
        <w:trPr>
          <w:trHeight w:val="360"/>
        </w:trPr>
        <w:tc>
          <w:tcPr>
            <w:tcW w:w="215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382CA82F" w14:textId="77777777" w:rsidR="00570FB8" w:rsidRPr="00054F3D" w:rsidRDefault="00570FB8" w:rsidP="00D847CB">
            <w:pPr>
              <w:rPr>
                <w:color w:val="FFFFFF" w:themeColor="background1"/>
              </w:rPr>
            </w:pPr>
            <w:r w:rsidRPr="00054F3D">
              <w:rPr>
                <w:color w:val="FFFFFF" w:themeColor="background1"/>
              </w:rPr>
              <w:t>Tildelingskriterium</w:t>
            </w:r>
          </w:p>
        </w:tc>
        <w:tc>
          <w:tcPr>
            <w:tcW w:w="7049"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243CEC9E" w14:textId="77777777" w:rsidR="00570FB8" w:rsidRPr="00AC1507" w:rsidRDefault="00570FB8" w:rsidP="00D847CB">
            <w:r w:rsidRPr="403EF5BC">
              <w:rPr>
                <w:color w:val="FFFFFF" w:themeColor="background1"/>
              </w:rPr>
              <w:t>Bærekraftig produksjon </w:t>
            </w:r>
          </w:p>
        </w:tc>
      </w:tr>
      <w:tr w:rsidR="00570FB8" w:rsidRPr="00AC1507" w14:paraId="21208243" w14:textId="77777777" w:rsidTr="00D847CB">
        <w:trPr>
          <w:trHeight w:val="495"/>
        </w:trPr>
        <w:tc>
          <w:tcPr>
            <w:tcW w:w="2157"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600FAB09" w14:textId="77777777" w:rsidR="00570FB8" w:rsidRPr="00AC1507" w:rsidRDefault="00570FB8" w:rsidP="00D847CB">
            <w:r w:rsidRPr="00AC1507">
              <w:t xml:space="preserve">Formål med </w:t>
            </w:r>
            <w:r>
              <w:t>tildelingskriteriet</w:t>
            </w:r>
            <w:r w:rsidRPr="00AC1507">
              <w:t>  </w:t>
            </w:r>
          </w:p>
        </w:tc>
        <w:tc>
          <w:tcPr>
            <w:tcW w:w="7049"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54216B5C" w14:textId="737C7AE6" w:rsidR="00570FB8" w:rsidRPr="00AC1507" w:rsidRDefault="00FA2B1D" w:rsidP="00D847CB">
            <w:r>
              <w:t>Formålet</w:t>
            </w:r>
            <w:r w:rsidR="00570FB8" w:rsidRPr="00AC1507">
              <w:t xml:space="preserve"> er</w:t>
            </w:r>
            <w:r w:rsidR="00570FB8">
              <w:t xml:space="preserve"> å premiere leverandør</w:t>
            </w:r>
            <w:r w:rsidR="00B9471F">
              <w:t>er</w:t>
            </w:r>
            <w:r w:rsidR="00570FB8">
              <w:t xml:space="preserve"> som kan dokumentere </w:t>
            </w:r>
            <w:r w:rsidR="00570FB8" w:rsidRPr="00AC1507">
              <w:t xml:space="preserve">at </w:t>
            </w:r>
            <w:r w:rsidR="004F56CA">
              <w:t xml:space="preserve">kontraktens gjenstand </w:t>
            </w:r>
            <w:r>
              <w:t>er</w:t>
            </w:r>
            <w:r w:rsidR="00570FB8">
              <w:t xml:space="preserve"> bærekraftig produsert med respekt for </w:t>
            </w:r>
            <w:r w:rsidR="00570FB8" w:rsidRPr="00AC1507">
              <w:t>grunnleggende menneskerettigheter</w:t>
            </w:r>
            <w:r w:rsidR="00570FB8">
              <w:t>, arbeidstakerrettigheter, miljøhensyn og antikorrupsjon.</w:t>
            </w:r>
          </w:p>
        </w:tc>
      </w:tr>
      <w:tr w:rsidR="00570FB8" w:rsidRPr="00AC1507" w14:paraId="7CF14123" w14:textId="77777777" w:rsidTr="00D847CB">
        <w:trPr>
          <w:trHeight w:val="6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77321602" w14:textId="77777777" w:rsidR="00570FB8" w:rsidRPr="00AC1507" w:rsidRDefault="00570FB8" w:rsidP="00D847CB">
            <w:r w:rsidRPr="00AC1507">
              <w:t xml:space="preserve">Formulering av </w:t>
            </w:r>
            <w:r>
              <w:t xml:space="preserve">tildelingskriteriet </w:t>
            </w:r>
          </w:p>
        </w:tc>
        <w:tc>
          <w:tcPr>
            <w:tcW w:w="7049"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57834A7A" w14:textId="77777777" w:rsidR="00570FB8" w:rsidRDefault="00570FB8" w:rsidP="00D847CB">
            <w:r>
              <w:t>Tilbyder premiers dersom;</w:t>
            </w:r>
          </w:p>
          <w:p w14:paraId="62CD1EFB" w14:textId="73B9393A" w:rsidR="00570FB8" w:rsidRPr="00AC1507" w:rsidRDefault="00570FB8" w:rsidP="00D847CB">
            <w:r>
              <w:t>p</w:t>
            </w:r>
            <w:r w:rsidRPr="00AC1507">
              <w:t xml:space="preserve">rodukter </w:t>
            </w:r>
            <w:r>
              <w:t xml:space="preserve">eller tjenester </w:t>
            </w:r>
            <w:r w:rsidRPr="00AC1507">
              <w:t xml:space="preserve">som anskaffes </w:t>
            </w:r>
            <w:r>
              <w:t>er bærekraftig produsert</w:t>
            </w:r>
            <w:r w:rsidRPr="00AC1507">
              <w:t>. </w:t>
            </w:r>
            <w:r w:rsidR="00C2540B">
              <w:t>Punkt 1 i DFØ og EHNs foreslåtte kontraktsvilkår for bærekraftige leverandørkjeder skal etterleves.</w:t>
            </w:r>
          </w:p>
          <w:p w14:paraId="62EE2AEC" w14:textId="77777777" w:rsidR="00570FB8" w:rsidRDefault="00570FB8" w:rsidP="00D847CB">
            <w:r>
              <w:t>Leverandøren blir premiert for antall bærekraftig produserte produkter i henhold til [produktvolumet] og [spend] av de produkter som Oppdragsgiver har valgt ut.</w:t>
            </w:r>
          </w:p>
          <w:p w14:paraId="65F18110" w14:textId="77777777" w:rsidR="00570FB8" w:rsidRPr="00AC1507" w:rsidRDefault="00570FB8" w:rsidP="00D847CB"/>
        </w:tc>
      </w:tr>
      <w:tr w:rsidR="00570FB8" w:rsidRPr="00E56AB2" w14:paraId="427B22AB"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4E5CE55C" w14:textId="77777777" w:rsidR="00570FB8" w:rsidRPr="00E56AB2" w:rsidRDefault="00570FB8" w:rsidP="00D847CB">
            <w:r w:rsidRPr="00E56AB2">
              <w:t>Dokumentasjon:  </w:t>
            </w:r>
          </w:p>
        </w:tc>
        <w:tc>
          <w:tcPr>
            <w:tcW w:w="7049"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vAlign w:val="bottom"/>
            <w:hideMark/>
          </w:tcPr>
          <w:p w14:paraId="5CD7C7D2" w14:textId="217D5EAE" w:rsidR="00570FB8" w:rsidRDefault="00570FB8" w:rsidP="00D847CB">
            <w:r w:rsidRPr="00AC2701">
              <w:t>Leverandør</w:t>
            </w:r>
            <w:r w:rsidR="00B9471F">
              <w:t>en</w:t>
            </w:r>
            <w:r w:rsidRPr="00AC2701">
              <w:t xml:space="preserve"> skal fylle inn i </w:t>
            </w:r>
            <w:r>
              <w:t xml:space="preserve">Oppdragsgivers </w:t>
            </w:r>
            <w:r w:rsidRPr="00AC2701">
              <w:t xml:space="preserve">produktskjema hvilke </w:t>
            </w:r>
            <w:r>
              <w:t xml:space="preserve">av de utvalgte </w:t>
            </w:r>
            <w:r w:rsidRPr="00AC2701">
              <w:t>produkte</w:t>
            </w:r>
            <w:r>
              <w:t xml:space="preserve">ne </w:t>
            </w:r>
            <w:r w:rsidRPr="00AC2701">
              <w:t xml:space="preserve">som er </w:t>
            </w:r>
            <w:r>
              <w:t>kontrollert bærekraftig produksjon og oppgi hvilken dokumentasjon som bekrefter dette</w:t>
            </w:r>
            <w:r w:rsidRPr="00AC2701">
              <w:t>.</w:t>
            </w:r>
          </w:p>
          <w:p w14:paraId="5D19B57A" w14:textId="77777777" w:rsidR="00570FB8" w:rsidRDefault="00570FB8" w:rsidP="00D847CB">
            <w:r>
              <w:t xml:space="preserve">I produktskjemaet skal det krysses av for hvilke av de utvalgte produktene som enten har en merkeordning (for eksempel TCO Certified, Fairtrade or </w:t>
            </w:r>
            <w:r w:rsidRPr="00591FED">
              <w:t>OEKO-TEX Standard 100</w:t>
            </w:r>
            <w:r>
              <w:t>) som bekrefter at produktet er bærekraftig produsert, eller som har dokumentasjon som viser at produksjonsenheten hvor produktet er produsert, er kontrollert for bærekraftig produksjon.</w:t>
            </w:r>
          </w:p>
          <w:p w14:paraId="3E5402A1" w14:textId="77777777" w:rsidR="00570FB8" w:rsidRPr="00E56AB2" w:rsidRDefault="00570FB8" w:rsidP="00D847CB">
            <w:r>
              <w:t xml:space="preserve">Dokumentasjon av hvorvidt produktene er bærekraftig produsert er en merkeordning som er fastsatt av tredjepart uavhengig anerkjent organisasjon. Merkeordningen skal være godkjent av International Trade Center og finnes søkbar i  </w:t>
            </w:r>
            <w:hyperlink r:id="rId20">
              <w:r w:rsidRPr="531726B3">
                <w:rPr>
                  <w:rStyle w:val="Hyperkobling"/>
                  <w:u w:val="none"/>
                </w:rPr>
                <w:t>StandardsMap</w:t>
              </w:r>
            </w:hyperlink>
          </w:p>
          <w:p w14:paraId="37F5B740" w14:textId="77777777" w:rsidR="00570FB8" w:rsidRDefault="00570FB8" w:rsidP="00D847CB">
            <w:r w:rsidRPr="00E56AB2">
              <w:t>Annen</w:t>
            </w:r>
            <w:r>
              <w:t xml:space="preserve"> </w:t>
            </w:r>
            <w:r w:rsidRPr="00E56AB2">
              <w:t>dokumentasjon</w:t>
            </w:r>
            <w:r>
              <w:t xml:space="preserve"> som kan brukes er:</w:t>
            </w:r>
            <w:r w:rsidRPr="00E56AB2">
              <w:t> </w:t>
            </w:r>
          </w:p>
          <w:p w14:paraId="6883E724" w14:textId="77777777" w:rsidR="00570FB8" w:rsidRDefault="00570FB8" w:rsidP="00D847CB">
            <w:pPr>
              <w:pStyle w:val="Listeavsnitt"/>
              <w:numPr>
                <w:ilvl w:val="0"/>
                <w:numId w:val="22"/>
              </w:numPr>
            </w:pPr>
            <w:r>
              <w:t xml:space="preserve">Dokumentasjon som tilsier at kontraktens gjenstand er produsert på en produksjonsenhet er SA8000 sertifisert, har signert </w:t>
            </w:r>
            <w:r w:rsidRPr="00CD27BD">
              <w:t xml:space="preserve">The Accord on </w:t>
            </w:r>
            <w:proofErr w:type="gramStart"/>
            <w:r w:rsidRPr="00CD27BD">
              <w:t>Fire and</w:t>
            </w:r>
            <w:proofErr w:type="gramEnd"/>
            <w:r w:rsidRPr="00CD27BD">
              <w:t xml:space="preserve"> Building Safety in Bangladesh</w:t>
            </w:r>
            <w:r>
              <w:t xml:space="preserve">, </w:t>
            </w:r>
            <w:r w:rsidRPr="006613A5">
              <w:t>The Pakistan Accord on Health and Safety in the Textile and Garment Industry</w:t>
            </w:r>
            <w:r>
              <w:t>, eller tilsvarende.</w:t>
            </w:r>
          </w:p>
          <w:p w14:paraId="27474891" w14:textId="77777777" w:rsidR="00570FB8" w:rsidRDefault="00570FB8" w:rsidP="00D847CB">
            <w:pPr>
              <w:pStyle w:val="Listeavsnitt"/>
              <w:numPr>
                <w:ilvl w:val="0"/>
                <w:numId w:val="22"/>
              </w:numPr>
            </w:pPr>
            <w:r>
              <w:t>Dokumentasjon som tilsier at kontraktens gjenstand kommer fra en produksjonsenhet med et anerkjent HMS ledelsessystem (for eksempel ISO45001) eller anerkjent miljøledelsessystem (for eksempel ISO14001).</w:t>
            </w:r>
          </w:p>
          <w:p w14:paraId="74B79925" w14:textId="77777777" w:rsidR="00570FB8" w:rsidRPr="00E56AB2" w:rsidRDefault="00570FB8" w:rsidP="00D847CB">
            <w:pPr>
              <w:pStyle w:val="Listeavsnitt"/>
              <w:numPr>
                <w:ilvl w:val="0"/>
                <w:numId w:val="22"/>
              </w:numPr>
            </w:pPr>
            <w:r>
              <w:t>R</w:t>
            </w:r>
            <w:r w:rsidRPr="00E56AB2">
              <w:t>evisjon</w:t>
            </w:r>
            <w:r>
              <w:t xml:space="preserve">sdokumentasjon basert på </w:t>
            </w:r>
            <w:r w:rsidRPr="00AC2701">
              <w:t xml:space="preserve">SA8000 eller </w:t>
            </w:r>
            <w:r w:rsidRPr="00E56AB2">
              <w:t>SM</w:t>
            </w:r>
            <w:r w:rsidRPr="00AC2701">
              <w:t>E</w:t>
            </w:r>
            <w:r w:rsidRPr="00E56AB2">
              <w:t>TA 4-pillar revisjonsprotokoll</w:t>
            </w:r>
            <w:r>
              <w:t>,</w:t>
            </w:r>
            <w:r w:rsidRPr="00E56AB2">
              <w:t xml:space="preserve"> eller tilsvarende</w:t>
            </w:r>
            <w:r w:rsidRPr="00AC2701">
              <w:t xml:space="preserve"> internasjonalt anerkjent revisjonsprotokoll</w:t>
            </w:r>
            <w:r w:rsidRPr="00E56AB2">
              <w:t xml:space="preserve">. </w:t>
            </w:r>
            <w:r w:rsidRPr="00AC2701">
              <w:t xml:space="preserve">Revisjonene skal gjennomføres </w:t>
            </w:r>
            <w:r>
              <w:t xml:space="preserve">av revisor som er </w:t>
            </w:r>
            <w:r w:rsidRPr="00E56AB2">
              <w:t>tredjepartssertifisert</w:t>
            </w:r>
            <w:r>
              <w:t xml:space="preserve">e </w:t>
            </w:r>
            <w:r w:rsidRPr="00E56AB2">
              <w:t xml:space="preserve">av </w:t>
            </w:r>
            <w:r w:rsidRPr="00AC2701">
              <w:t>SAAS, AAC</w:t>
            </w:r>
            <w:r>
              <w:t xml:space="preserve">, ISO19011 </w:t>
            </w:r>
            <w:r w:rsidRPr="00E56AB2">
              <w:t>eller tilsvarende.</w:t>
            </w:r>
            <w:r>
              <w:t xml:space="preserve"> Dokumentasjonen får ikke være eldre enn 12 måneder.</w:t>
            </w:r>
          </w:p>
        </w:tc>
      </w:tr>
      <w:tr w:rsidR="00570FB8" w:rsidRPr="00AC1507" w14:paraId="1A8316F9" w14:textId="77777777" w:rsidTr="00D847CB">
        <w:trPr>
          <w:trHeight w:val="9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08EDC846" w14:textId="77777777" w:rsidR="00570FB8" w:rsidRPr="00AC1507" w:rsidRDefault="00570FB8" w:rsidP="00D847CB">
            <w:r w:rsidRPr="00AC1507">
              <w:t xml:space="preserve">Informasjon om </w:t>
            </w:r>
            <w:r>
              <w:t>tildelingskriteriet</w:t>
            </w:r>
            <w:r w:rsidRPr="00AC1507">
              <w:t> </w:t>
            </w:r>
          </w:p>
        </w:tc>
        <w:tc>
          <w:tcPr>
            <w:tcW w:w="7049"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2528EA37" w14:textId="77777777" w:rsidR="00570FB8" w:rsidRDefault="00570FB8" w:rsidP="00D847CB">
            <w:r>
              <w:t xml:space="preserve">Ved å premiere leverandørene for sertifiserte produkter eller produksjonsenheter som hvor tilsvarende 3. parts revisjon gjennomføres, minskes risikoen for brudd på kontraktsvilkårene for aktsomhetsvurderinger og ansvarlig styring av leverandørkjedene. </w:t>
            </w:r>
          </w:p>
          <w:p w14:paraId="2DAE1015" w14:textId="77777777" w:rsidR="00570FB8" w:rsidRDefault="00570FB8" w:rsidP="00D847CB">
            <w:r>
              <w:t xml:space="preserve">Evalueringen gjennomføres ved at oppdragsgiver teller </w:t>
            </w:r>
            <w:r>
              <w:br/>
              <w:t>antall produkter av de utvalgte produktene på rammeavtalen) som er dokumentert bærekraftig produsert ganget med [produktvolumet] eller [spend].</w:t>
            </w:r>
            <w:r>
              <w:br/>
            </w:r>
            <w:r>
              <w:lastRenderedPageBreak/>
              <w:t>Ut ifra dette kan leverandørene få prosentvist prisavslag, alternativt poeng, jo flere av de utvalgte produktene som er dokumentert bærekraftig produsert.</w:t>
            </w:r>
          </w:p>
          <w:p w14:paraId="09ABAFC7" w14:textId="77777777" w:rsidR="00570FB8" w:rsidRPr="00AC1507" w:rsidRDefault="00570FB8" w:rsidP="00D847CB">
            <w:r>
              <w:t xml:space="preserve">Markedsdialog er viktig ved bruk av dette tildelingskriteriet. Først og fremst for å varsle leverandørene om at dere ønsker å bruke et slikt tildelingskriterium og få en oversikt over leverandører som kan levere på dette. Dersom det er mange leverandører som kan oppfylle forventningene for noen produkter, kan det være bedre å bruke kravspesifikasjon på de spesifikke produktene. </w:t>
            </w:r>
          </w:p>
        </w:tc>
      </w:tr>
    </w:tbl>
    <w:p w14:paraId="32151258" w14:textId="77777777" w:rsidR="00570FB8" w:rsidRDefault="00570FB8" w:rsidP="00570FB8">
      <w:pPr>
        <w:spacing w:line="278" w:lineRule="auto"/>
      </w:pPr>
    </w:p>
    <w:p w14:paraId="68325049" w14:textId="77777777" w:rsidR="00254B64" w:rsidRDefault="00254B64" w:rsidP="00570FB8">
      <w:pPr>
        <w:pStyle w:val="Overskrift2"/>
      </w:pPr>
    </w:p>
    <w:p w14:paraId="6D6D832C" w14:textId="12FBFD55" w:rsidR="00570FB8" w:rsidRPr="00AC1507" w:rsidRDefault="00570FB8" w:rsidP="00570FB8">
      <w:pPr>
        <w:pStyle w:val="Overskrift2"/>
      </w:pPr>
      <w:r>
        <w:t>Anbefalt tildelingskriterium (2):</w:t>
      </w:r>
    </w:p>
    <w:p w14:paraId="585E99AC" w14:textId="5F5E44DC" w:rsidR="00570FB8" w:rsidRDefault="00570FB8" w:rsidP="00570FB8"/>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57"/>
        <w:gridCol w:w="6897"/>
      </w:tblGrid>
      <w:tr w:rsidR="00570FB8" w14:paraId="615DCA69" w14:textId="77777777" w:rsidTr="00D847CB">
        <w:trPr>
          <w:trHeight w:val="300"/>
        </w:trPr>
        <w:tc>
          <w:tcPr>
            <w:tcW w:w="215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tcPr>
          <w:p w14:paraId="403A49A1" w14:textId="77777777" w:rsidR="00570FB8" w:rsidRDefault="00570FB8" w:rsidP="00D847CB">
            <w:pPr>
              <w:rPr>
                <w:color w:val="FFFFFF" w:themeColor="background1"/>
              </w:rPr>
            </w:pPr>
            <w:r w:rsidRPr="2921766F">
              <w:rPr>
                <w:color w:val="FFFFFF" w:themeColor="background1"/>
              </w:rPr>
              <w:t xml:space="preserve"> Tildelingskriterium</w:t>
            </w:r>
          </w:p>
        </w:tc>
        <w:tc>
          <w:tcPr>
            <w:tcW w:w="6897"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tcPr>
          <w:p w14:paraId="17277FC8" w14:textId="77777777" w:rsidR="00570FB8" w:rsidRPr="00782E50" w:rsidRDefault="00570FB8" w:rsidP="00D847CB">
            <w:pPr>
              <w:rPr>
                <w:color w:val="FFFFFF" w:themeColor="background1"/>
              </w:rPr>
            </w:pPr>
            <w:r>
              <w:rPr>
                <w:color w:val="FFFFFF" w:themeColor="background1"/>
              </w:rPr>
              <w:t xml:space="preserve">Oversikt over </w:t>
            </w:r>
            <w:r w:rsidRPr="2921766F">
              <w:rPr>
                <w:color w:val="FFFFFF" w:themeColor="background1"/>
              </w:rPr>
              <w:t>leverandørkjeden </w:t>
            </w:r>
          </w:p>
        </w:tc>
      </w:tr>
      <w:tr w:rsidR="00570FB8" w14:paraId="08131A7E" w14:textId="77777777" w:rsidTr="00D847CB">
        <w:trPr>
          <w:trHeight w:val="300"/>
        </w:trPr>
        <w:tc>
          <w:tcPr>
            <w:tcW w:w="2157"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662B052B" w14:textId="77777777" w:rsidR="00570FB8" w:rsidRDefault="00570FB8" w:rsidP="00D847CB">
            <w:r>
              <w:t>Formål med tildelingskriteriet  </w:t>
            </w:r>
          </w:p>
        </w:tc>
        <w:tc>
          <w:tcPr>
            <w:tcW w:w="6897"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1B723976" w14:textId="6DDBC32F" w:rsidR="00570FB8" w:rsidRDefault="00570FB8" w:rsidP="00D847CB">
            <w:r>
              <w:t>Formålet er å premiere leverandører som kan dokumentere oversikt over leverandørkjeden</w:t>
            </w:r>
            <w:r w:rsidR="00A54F85">
              <w:t xml:space="preserve"> for kontraktens gjenstand</w:t>
            </w:r>
            <w:r>
              <w:t>.</w:t>
            </w:r>
          </w:p>
        </w:tc>
      </w:tr>
      <w:tr w:rsidR="00570FB8" w14:paraId="6FD8F4E2"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tcPr>
          <w:p w14:paraId="5FEC1735" w14:textId="77777777" w:rsidR="00570FB8" w:rsidRDefault="00570FB8" w:rsidP="00D847CB">
            <w:r>
              <w:t xml:space="preserve">Formulering av tildelingskriteriet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tcPr>
          <w:p w14:paraId="7F43385F" w14:textId="77777777" w:rsidR="00570FB8" w:rsidRDefault="00570FB8" w:rsidP="00D847CB">
            <w:r>
              <w:t>Tilbyder premiers dersom;</w:t>
            </w:r>
          </w:p>
          <w:p w14:paraId="50D698D6" w14:textId="77777777" w:rsidR="00570FB8" w:rsidRDefault="00570FB8" w:rsidP="00D847CB">
            <w:r>
              <w:t>leverandøren redegjøre for firmanavn, adresse og kontaktinformasjon for følgende trinn i leverandørkjeden til produkter [x,y,z]:</w:t>
            </w:r>
          </w:p>
          <w:p w14:paraId="53B21B30" w14:textId="77777777" w:rsidR="00570FB8" w:rsidRDefault="00570FB8" w:rsidP="00D847CB">
            <w:r>
              <w:t>1)Sammenstilling (det</w:t>
            </w:r>
            <w:r w:rsidRPr="00EE4483">
              <w:t xml:space="preserve"> siste </w:t>
            </w:r>
            <w:r>
              <w:t>leddet</w:t>
            </w:r>
            <w:r w:rsidRPr="00EE4483">
              <w:t xml:space="preserve"> i produksjonsprosessen der komponenter og deler settes sammen til </w:t>
            </w:r>
            <w:r>
              <w:t>d</w:t>
            </w:r>
            <w:r w:rsidRPr="00EE4483">
              <w:t>et ferdig</w:t>
            </w:r>
            <w:r>
              <w:t>e</w:t>
            </w:r>
            <w:r w:rsidRPr="00EE4483">
              <w:t xml:space="preserve"> produkt</w:t>
            </w:r>
            <w:r>
              <w:t>et).</w:t>
            </w:r>
          </w:p>
          <w:p w14:paraId="72C9EB48" w14:textId="77777777" w:rsidR="00570FB8" w:rsidRDefault="00570FB8" w:rsidP="00D847CB">
            <w:r>
              <w:t>2) Komponentproduksjon (den leddet i produksjonsprosessen der komponentene som inngår i det ferdige produktet lages).</w:t>
            </w:r>
          </w:p>
          <w:p w14:paraId="47542A1C" w14:textId="77777777" w:rsidR="00570FB8" w:rsidRDefault="00570FB8" w:rsidP="00D847CB">
            <w:r>
              <w:t>3)Råvareuttak (den leddet i produksjonsprosessen der råvaren som inngår i hovedkomponentene utvinnes).</w:t>
            </w:r>
          </w:p>
          <w:p w14:paraId="02E03EE1" w14:textId="77777777" w:rsidR="00570FB8" w:rsidRDefault="00570FB8" w:rsidP="00D847CB">
            <w:r>
              <w:t>Leverandøren blir premiert for hvor mange ledd i leverandørkjeden de kan vise for følgende produkter: [Oppdragsgiver fyller ut].</w:t>
            </w:r>
          </w:p>
        </w:tc>
      </w:tr>
      <w:tr w:rsidR="00570FB8" w14:paraId="1E3B6D00"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71377651" w14:textId="77777777" w:rsidR="00570FB8" w:rsidRDefault="00570FB8" w:rsidP="00D847CB">
            <w:r>
              <w:t>Dokumentasjon: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77C2E7B3" w14:textId="3530F0B7" w:rsidR="00570FB8" w:rsidRDefault="00570FB8" w:rsidP="00D847CB">
            <w:r>
              <w:t>Leverandør</w:t>
            </w:r>
            <w:r w:rsidR="00B9471F">
              <w:t>en</w:t>
            </w:r>
            <w:r>
              <w:t xml:space="preserve"> fyller ut produksjonsenheter i Oppdragsgivers produktskjema, for følgende utvalgte produkter: [x,y,z].</w:t>
            </w:r>
          </w:p>
          <w:p w14:paraId="0B3FBBFC" w14:textId="77777777" w:rsidR="00570FB8" w:rsidRDefault="00570FB8" w:rsidP="00D847CB">
            <w:r>
              <w:t>L</w:t>
            </w:r>
            <w:r w:rsidRPr="00DB6044">
              <w:t xml:space="preserve">everandøren redegjør for firmanavn, adresse og kontaktinformasjon i leverandørkjeden for </w:t>
            </w:r>
            <w:r>
              <w:t>oppgitte</w:t>
            </w:r>
            <w:r w:rsidRPr="00DB6044">
              <w:t xml:space="preserve"> trinn i leverandørkjeden</w:t>
            </w:r>
            <w:r>
              <w:t>.</w:t>
            </w:r>
          </w:p>
          <w:p w14:paraId="271B7310" w14:textId="653CD62B" w:rsidR="00570FB8" w:rsidRDefault="00570FB8" w:rsidP="00D847CB">
            <w:r>
              <w:t>Oppdragsgiver har valgt følgende produkter som leverandør</w:t>
            </w:r>
            <w:r w:rsidR="00B9471F">
              <w:t>en</w:t>
            </w:r>
            <w:r>
              <w:t xml:space="preserve"> kan vise adresse for produksjonssted av komponenter for: [x,y,z]. For eksempel grafikkort og prosessor og lagringsenheter for PCer eller mobiltelefoner. </w:t>
            </w:r>
          </w:p>
          <w:p w14:paraId="6319EF59" w14:textId="5A982DCD" w:rsidR="00570FB8" w:rsidRDefault="00570FB8" w:rsidP="00D847CB">
            <w:r>
              <w:t>Oppdragsgiver har valgt følgende produkter i hovedkomponentene [x,y,z] hvor leverandør</w:t>
            </w:r>
            <w:r w:rsidR="005D0E13">
              <w:t>en</w:t>
            </w:r>
            <w:r>
              <w:t xml:space="preserve"> kan vise hvilke råvarer som komponentene inneholder og hvor de stammer fra: [x,y,z]. </w:t>
            </w:r>
          </w:p>
          <w:p w14:paraId="75000E8F" w14:textId="77777777" w:rsidR="00570FB8" w:rsidRDefault="00570FB8" w:rsidP="00D847CB">
            <w:r>
              <w:t xml:space="preserve">Leverandørene premieres ut fra antall oppgitte ledd i leverandørkjeden per utvalgte produkter: [x,y,z]. </w:t>
            </w:r>
          </w:p>
        </w:tc>
      </w:tr>
      <w:tr w:rsidR="00570FB8" w14:paraId="018C8304" w14:textId="77777777" w:rsidTr="00D847CB">
        <w:trPr>
          <w:trHeight w:val="30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tcPr>
          <w:p w14:paraId="68D165F3" w14:textId="77777777" w:rsidR="00570FB8" w:rsidRDefault="00570FB8" w:rsidP="00D847CB">
            <w:r>
              <w:t>Informasjon om tildelingskriteriet </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tcPr>
          <w:p w14:paraId="44410A05" w14:textId="77777777" w:rsidR="00570FB8" w:rsidRDefault="00570FB8" w:rsidP="00D847CB">
            <w:r>
              <w:t xml:space="preserve">Oppdragsgivere anbefales å premiere leverandører som har kunnskap og oversikt over leverandørkjedene. </w:t>
            </w:r>
          </w:p>
          <w:p w14:paraId="0E2A4D7E" w14:textId="77777777" w:rsidR="00570FB8" w:rsidRDefault="00570FB8" w:rsidP="00D847CB">
            <w:r>
              <w:t xml:space="preserve">Enkelte industrier og bransjer har utviklet høy grad av sporbarhet.  Etter matinformasjonsforskriften, skal blant annet frukt, grønnsaker og ferdigforpakkede matvarer være merket med opprinnelsesland og diverse andre krav til sporbarhet i leverandørkjeden. </w:t>
            </w:r>
          </w:p>
          <w:p w14:paraId="07EB8EED" w14:textId="77777777" w:rsidR="00570FB8" w:rsidRDefault="00570FB8" w:rsidP="00D847CB">
            <w:r>
              <w:lastRenderedPageBreak/>
              <w:t xml:space="preserve">Produktkontrolloven, som omfatter alle produkter som kan føre til helseskade eller miljøforstyrrelse , krever sporbarhet i leverandørkjeden. Omfattede virksomheter </w:t>
            </w:r>
            <w:r w:rsidRPr="00896509">
              <w:t xml:space="preserve">må ha systemer på plass for å dokumentere og spore produktenes opprinnelse og bevegelser gjennom </w:t>
            </w:r>
            <w:r>
              <w:t xml:space="preserve">leverandørkjeden. </w:t>
            </w:r>
            <w:r w:rsidRPr="003A33CB">
              <w:t xml:space="preserve">Andre industrier og bransjer har ikke hatt samme plikt til å redegjøre for sporbarhet. </w:t>
            </w:r>
          </w:p>
          <w:p w14:paraId="72D6DDC1" w14:textId="7DFDD54D" w:rsidR="00570FB8" w:rsidRDefault="00570FB8" w:rsidP="00D847CB">
            <w:r w:rsidRPr="003A33CB">
              <w:t xml:space="preserve">I en tid preget av krig og konflikt er sikkerhet og beredskap i forhold til ansvarlig og bærekraftig styring av leverandørkjeder et sentralt tema. </w:t>
            </w:r>
            <w:r w:rsidRPr="6DFA7622">
              <w:rPr>
                <w:rFonts w:eastAsiaTheme="minorEastAsia"/>
              </w:rPr>
              <w:t xml:space="preserve">Det er </w:t>
            </w:r>
            <w:r>
              <w:rPr>
                <w:rFonts w:eastAsiaTheme="minorEastAsia"/>
              </w:rPr>
              <w:t xml:space="preserve">derfor viktig </w:t>
            </w:r>
            <w:r w:rsidRPr="6DFA7622">
              <w:rPr>
                <w:rFonts w:eastAsiaTheme="minorEastAsia"/>
              </w:rPr>
              <w:t xml:space="preserve">at </w:t>
            </w:r>
            <w:r>
              <w:rPr>
                <w:rFonts w:eastAsiaTheme="minorEastAsia"/>
              </w:rPr>
              <w:t>oppdragsgiver</w:t>
            </w:r>
            <w:r w:rsidRPr="6DFA7622">
              <w:rPr>
                <w:rFonts w:eastAsiaTheme="minorEastAsia"/>
              </w:rPr>
              <w:t xml:space="preserve"> forsikrer seg om at leverandørene har kunnskap om leverandørkjeden, fordi produkter og komponenter kan vise seg å være ulovlig fremstilte</w:t>
            </w:r>
            <w:r>
              <w:rPr>
                <w:rFonts w:eastAsiaTheme="minorEastAsia"/>
              </w:rPr>
              <w:t xml:space="preserve"> eller inneholde helsefarlige stoffer. Det finnes en rekke selskaper som kan vise til sporbarhet i hele leverandørkjeden.</w:t>
            </w:r>
          </w:p>
          <w:p w14:paraId="6157D4D3" w14:textId="742C6B66" w:rsidR="00570FB8" w:rsidRPr="00472519" w:rsidRDefault="005751A8" w:rsidP="00472519">
            <w:pPr>
              <w:spacing w:line="276" w:lineRule="auto"/>
              <w:rPr>
                <w:rFonts w:eastAsiaTheme="minorEastAsia"/>
              </w:rPr>
            </w:pPr>
            <w:r>
              <w:rPr>
                <w:rFonts w:eastAsiaTheme="minorEastAsia"/>
              </w:rPr>
              <w:t xml:space="preserve">For eksempel har </w:t>
            </w:r>
            <w:r w:rsidR="00570FB8" w:rsidRPr="008C2345">
              <w:rPr>
                <w:rFonts w:eastAsiaTheme="minorEastAsia"/>
              </w:rPr>
              <w:t>Fairphone</w:t>
            </w:r>
            <w:r>
              <w:rPr>
                <w:rFonts w:eastAsiaTheme="minorEastAsia"/>
              </w:rPr>
              <w:t xml:space="preserve"> </w:t>
            </w:r>
            <w:r w:rsidR="00570FB8" w:rsidRPr="008C2345">
              <w:rPr>
                <w:rFonts w:eastAsiaTheme="minorEastAsia"/>
              </w:rPr>
              <w:t xml:space="preserve">publisert et interaktivt kart over sine leverandørkjeder med informasjon om hvilke produkter som tilvirkes på de forskjellige produksjonsenhetene. Fairphone oppgir videre hvor produksjonsenhetene for hovedkomponenter og lokalisasjonen for råvareuttak til hovedkomponentene befinner seg: </w:t>
            </w:r>
            <w:hyperlink r:id="rId21" w:history="1">
              <w:r w:rsidR="00570FB8" w:rsidRPr="00AB1141">
                <w:rPr>
                  <w:rStyle w:val="Hyperkobling"/>
                  <w:rFonts w:eastAsiaTheme="minorEastAsia"/>
                </w:rPr>
                <w:t>https://www.fairphone.com/en/impact/source-map-transparency/</w:t>
              </w:r>
            </w:hyperlink>
          </w:p>
        </w:tc>
      </w:tr>
      <w:tr w:rsidR="00570FB8" w:rsidRPr="00657DA5" w14:paraId="4690C01F" w14:textId="77777777" w:rsidTr="00D57608">
        <w:trPr>
          <w:trHeight w:val="20"/>
        </w:trPr>
        <w:tc>
          <w:tcPr>
            <w:tcW w:w="2157"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41F76733" w14:textId="05EA9C54" w:rsidR="00570FB8" w:rsidRPr="00657DA5" w:rsidRDefault="00570FB8" w:rsidP="00472519">
            <w:pPr>
              <w:spacing w:before="120" w:after="120"/>
              <w:rPr>
                <w:color w:val="FFFFFF" w:themeColor="background1"/>
              </w:rPr>
            </w:pPr>
            <w:r w:rsidRPr="004028E0">
              <w:lastRenderedPageBreak/>
              <w:t>S</w:t>
            </w:r>
            <w:r>
              <w:t>pørsmål:</w:t>
            </w:r>
          </w:p>
        </w:tc>
        <w:tc>
          <w:tcPr>
            <w:tcW w:w="6897"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4B3EE2D4" w14:textId="2ED4402F" w:rsidR="00570FB8" w:rsidRPr="00657DA5" w:rsidRDefault="00570FB8" w:rsidP="00472519">
            <w:pPr>
              <w:spacing w:before="120" w:after="120"/>
              <w:rPr>
                <w:color w:val="FFFFFF" w:themeColor="background1"/>
              </w:rPr>
            </w:pPr>
            <w:r w:rsidRPr="00710580">
              <w:t>B</w:t>
            </w:r>
            <w:r>
              <w:t xml:space="preserve">ør leverandører bli premiert dersom de i tillegg offentliggjort </w:t>
            </w:r>
            <w:r w:rsidR="007D09B4">
              <w:t>en</w:t>
            </w:r>
            <w:r>
              <w:t xml:space="preserve"> leverandørliste?</w:t>
            </w:r>
          </w:p>
        </w:tc>
      </w:tr>
    </w:tbl>
    <w:p w14:paraId="3A274EB0" w14:textId="77777777" w:rsidR="00570FB8" w:rsidRDefault="00570FB8" w:rsidP="00570FB8"/>
    <w:p w14:paraId="3527DBB5" w14:textId="77777777" w:rsidR="004219D4" w:rsidRDefault="004219D4" w:rsidP="004219D4">
      <w:pPr>
        <w:pStyle w:val="Overskrift2"/>
      </w:pPr>
    </w:p>
    <w:p w14:paraId="27D7538C" w14:textId="60D0610B" w:rsidR="00570FB8" w:rsidRPr="00AC1507" w:rsidRDefault="00570FB8" w:rsidP="004219D4">
      <w:pPr>
        <w:pStyle w:val="Overskrift2"/>
      </w:pPr>
      <w:r>
        <w:t>Anbefalt tildelingskriterium (3):</w:t>
      </w:r>
    </w:p>
    <w:p w14:paraId="0AACF149" w14:textId="77777777" w:rsidR="00570FB8" w:rsidRPr="00AC1507" w:rsidRDefault="00570FB8" w:rsidP="00570FB8">
      <w:r w:rsidRPr="00AC1507">
        <w:t>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6975"/>
      </w:tblGrid>
      <w:tr w:rsidR="00570FB8" w:rsidRPr="00AC1507" w14:paraId="3E4B71EA" w14:textId="77777777" w:rsidTr="00D847CB">
        <w:trPr>
          <w:trHeight w:val="285"/>
        </w:trPr>
        <w:tc>
          <w:tcPr>
            <w:tcW w:w="2220"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27B145AD" w14:textId="77777777" w:rsidR="00570FB8" w:rsidRPr="00054F3D" w:rsidRDefault="00570FB8" w:rsidP="00D847CB">
            <w:pPr>
              <w:rPr>
                <w:color w:val="FFFFFF" w:themeColor="background1"/>
              </w:rPr>
            </w:pPr>
            <w:r w:rsidRPr="00054F3D">
              <w:rPr>
                <w:color w:val="FFFFFF" w:themeColor="background1"/>
              </w:rPr>
              <w:t xml:space="preserve">Tildelingskriterium </w:t>
            </w:r>
          </w:p>
        </w:tc>
        <w:tc>
          <w:tcPr>
            <w:tcW w:w="6975" w:type="dxa"/>
            <w:tcBorders>
              <w:top w:val="single" w:sz="6" w:space="0" w:color="156082" w:themeColor="accent1"/>
              <w:left w:val="single" w:sz="6" w:space="0" w:color="156082" w:themeColor="accent1"/>
              <w:bottom w:val="single" w:sz="6" w:space="0" w:color="156082" w:themeColor="accent1"/>
              <w:right w:val="single" w:sz="6" w:space="0" w:color="156082" w:themeColor="accent1"/>
            </w:tcBorders>
            <w:shd w:val="clear" w:color="auto" w:fill="156082" w:themeFill="accent1"/>
            <w:hideMark/>
          </w:tcPr>
          <w:p w14:paraId="56CAD49D" w14:textId="77777777" w:rsidR="00570FB8" w:rsidRPr="00054F3D" w:rsidRDefault="00570FB8" w:rsidP="00D847CB">
            <w:pPr>
              <w:rPr>
                <w:color w:val="FFFFFF" w:themeColor="background1"/>
              </w:rPr>
            </w:pPr>
            <w:r w:rsidRPr="00054F3D">
              <w:rPr>
                <w:color w:val="FFFFFF" w:themeColor="background1"/>
              </w:rPr>
              <w:t>Levelønn</w:t>
            </w:r>
            <w:r>
              <w:rPr>
                <w:color w:val="FFFFFF" w:themeColor="background1"/>
              </w:rPr>
              <w:t>/</w:t>
            </w:r>
            <w:r w:rsidRPr="00054F3D">
              <w:rPr>
                <w:color w:val="FFFFFF" w:themeColor="background1"/>
              </w:rPr>
              <w:t>leveinntekt</w:t>
            </w:r>
          </w:p>
        </w:tc>
      </w:tr>
      <w:tr w:rsidR="00570FB8" w:rsidRPr="00AC1507" w14:paraId="5ECD0BB9" w14:textId="77777777" w:rsidTr="00D847CB">
        <w:trPr>
          <w:trHeight w:val="285"/>
        </w:trPr>
        <w:tc>
          <w:tcPr>
            <w:tcW w:w="2220" w:type="dxa"/>
            <w:tcBorders>
              <w:top w:val="single" w:sz="6" w:space="0" w:color="156082" w:themeColor="accent1"/>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6F5DE08B" w14:textId="77777777" w:rsidR="00570FB8" w:rsidRPr="00AC1507" w:rsidRDefault="00570FB8" w:rsidP="00D847CB">
            <w:r w:rsidRPr="00AC1507">
              <w:t>Formål med tildelingskriteriet - </w:t>
            </w:r>
          </w:p>
          <w:p w14:paraId="7F7C19B8" w14:textId="77777777" w:rsidR="00570FB8" w:rsidRPr="00AC1507" w:rsidRDefault="00570FB8" w:rsidP="00D847CB"/>
        </w:tc>
        <w:tc>
          <w:tcPr>
            <w:tcW w:w="6975" w:type="dxa"/>
            <w:tcBorders>
              <w:top w:val="single" w:sz="6" w:space="0" w:color="156082" w:themeColor="accent1"/>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56F3B755" w14:textId="5C7905EA" w:rsidR="00570FB8" w:rsidRPr="00AC1507" w:rsidRDefault="00570FB8" w:rsidP="00D847CB">
            <w:r w:rsidRPr="00AC1507">
              <w:t>Formålet er å premiere leverandører som</w:t>
            </w:r>
            <w:r>
              <w:t xml:space="preserve"> legger til rette for</w:t>
            </w:r>
            <w:r w:rsidR="006C611D">
              <w:t xml:space="preserve"> </w:t>
            </w:r>
            <w:r w:rsidRPr="00AC1507">
              <w:t xml:space="preserve">levelønn </w:t>
            </w:r>
            <w:r>
              <w:t>eller leveinntekt ved produksjon av</w:t>
            </w:r>
            <w:r w:rsidR="003A39D7">
              <w:t xml:space="preserve"> kontraktens gjenstand</w:t>
            </w:r>
            <w:r w:rsidRPr="00AC1507">
              <w:t>. </w:t>
            </w:r>
          </w:p>
        </w:tc>
      </w:tr>
      <w:tr w:rsidR="00570FB8" w:rsidRPr="00AC1507" w14:paraId="304C9C4D" w14:textId="77777777" w:rsidTr="00D847CB">
        <w:trPr>
          <w:trHeight w:val="285"/>
        </w:trPr>
        <w:tc>
          <w:tcPr>
            <w:tcW w:w="2220"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7B479BDC" w14:textId="17D6614A" w:rsidR="00570FB8" w:rsidRPr="00AC1507" w:rsidRDefault="00570FB8" w:rsidP="00D847CB">
            <w:r w:rsidRPr="00AC1507">
              <w:t>Formulering av tildelingskriteriet  </w:t>
            </w:r>
          </w:p>
        </w:tc>
        <w:tc>
          <w:tcPr>
            <w:tcW w:w="6975"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05333718" w14:textId="77777777" w:rsidR="00570FB8" w:rsidRDefault="00570FB8" w:rsidP="00D847CB">
            <w:r w:rsidRPr="00AC1507">
              <w:t xml:space="preserve">Tilbyder </w:t>
            </w:r>
            <w:r>
              <w:t>premieres dersom;</w:t>
            </w:r>
          </w:p>
          <w:p w14:paraId="18D5440D" w14:textId="03828D89" w:rsidR="00570FB8" w:rsidRDefault="00570FB8" w:rsidP="00D847CB">
            <w:r>
              <w:t xml:space="preserve">1. Leverandøren kan vise til retningslinjer om at </w:t>
            </w:r>
            <w:r w:rsidRPr="0019324E">
              <w:t xml:space="preserve">levelønn </w:t>
            </w:r>
            <w:r>
              <w:t>eller</w:t>
            </w:r>
            <w:r w:rsidRPr="0019324E">
              <w:t xml:space="preserve"> leveinntekt</w:t>
            </w:r>
            <w:r>
              <w:t xml:space="preserve"> skal utbetales </w:t>
            </w:r>
            <w:r w:rsidR="00341F48">
              <w:t>ved produksjon av kontraktens gjenstand</w:t>
            </w:r>
            <w:r>
              <w:t>. Informasjonen skal være offentlig tilgjengelig på leverandørens nettsider.</w:t>
            </w:r>
          </w:p>
          <w:p w14:paraId="48A06044" w14:textId="23A3A2D7" w:rsidR="00570FB8" w:rsidRDefault="00570FB8" w:rsidP="00D847CB">
            <w:r>
              <w:t>2.</w:t>
            </w:r>
            <w:r w:rsidRPr="000F39D2">
              <w:t xml:space="preserve"> Leverandøren kan vise til </w:t>
            </w:r>
            <w:r>
              <w:t>aktiv deltakelse i levelønn eller leveinntekts-flerpartsinitiativer</w:t>
            </w:r>
            <w:r w:rsidR="006B36BB">
              <w:t xml:space="preserve"> </w:t>
            </w:r>
            <w:r w:rsidR="00AD685F">
              <w:t xml:space="preserve">under produksjon </w:t>
            </w:r>
            <w:r w:rsidR="006B36BB">
              <w:t>av kontraktens gjenstand</w:t>
            </w:r>
            <w:r>
              <w:t xml:space="preserve">. Initiativene skal være fasilitert av sivilsamfunnsorganisasjoner, overstatlig organisasjon, bransjeorganisasjoner eller tilsvarende.  </w:t>
            </w:r>
            <w:r w:rsidR="00FD4C07">
              <w:t>Informasjonen skal være offentlig tilgjengelig på leverandørens nettsider.</w:t>
            </w:r>
          </w:p>
          <w:p w14:paraId="4B99FDB9" w14:textId="182EF110" w:rsidR="00570FB8" w:rsidRDefault="00570FB8" w:rsidP="00D847CB">
            <w:r>
              <w:t>3.</w:t>
            </w:r>
            <w:r w:rsidDel="00A0134B">
              <w:t xml:space="preserve"> </w:t>
            </w:r>
            <w:r w:rsidRPr="000F39D2">
              <w:t xml:space="preserve">Leverandøren kan vise til </w:t>
            </w:r>
            <w:r>
              <w:t xml:space="preserve">den </w:t>
            </w:r>
            <w:r w:rsidRPr="000F39D2">
              <w:t xml:space="preserve">metodikk </w:t>
            </w:r>
            <w:r>
              <w:t xml:space="preserve">som </w:t>
            </w:r>
            <w:r w:rsidRPr="000F39D2">
              <w:t>bruke</w:t>
            </w:r>
            <w:r>
              <w:t xml:space="preserve">s </w:t>
            </w:r>
            <w:r w:rsidRPr="000F39D2">
              <w:t xml:space="preserve">for å </w:t>
            </w:r>
            <w:r>
              <w:t>beregne</w:t>
            </w:r>
            <w:r w:rsidRPr="000F39D2">
              <w:t xml:space="preserve"> levelønnsnivå </w:t>
            </w:r>
            <w:r>
              <w:t>eller leveinntekt</w:t>
            </w:r>
            <w:r w:rsidR="00AD685F">
              <w:t xml:space="preserve"> ved produksjon av kontraktens gjenstand</w:t>
            </w:r>
            <w:r>
              <w:t xml:space="preserve">. </w:t>
            </w:r>
            <w:r w:rsidRPr="00924A44">
              <w:t xml:space="preserve">Levelønnsnivå </w:t>
            </w:r>
            <w:r>
              <w:t xml:space="preserve">eller leveinntekt </w:t>
            </w:r>
            <w:r w:rsidRPr="00924A44">
              <w:t>skal være</w:t>
            </w:r>
            <w:r>
              <w:t xml:space="preserve"> beregnet</w:t>
            </w:r>
            <w:r w:rsidRPr="00924A44">
              <w:t xml:space="preserve"> i henhold til Anker-metoden</w:t>
            </w:r>
            <w:r>
              <w:t xml:space="preserve"> eller tilsvarende metode. Informasjonen skal være offentlig tilgjengelig på leverandørens nettsider.</w:t>
            </w:r>
          </w:p>
          <w:p w14:paraId="6DA7870F" w14:textId="2413952A" w:rsidR="00570FB8" w:rsidRDefault="00570FB8" w:rsidP="00D847CB">
            <w:r>
              <w:t xml:space="preserve">4. </w:t>
            </w:r>
            <w:r w:rsidRPr="001E1336">
              <w:t>Leverandøren kan vise til en innkjøpspraksis som bidrar til å redusere gapet mellom estimert levelønn eller leveinntekt og nåværende lønnsnivå eller lønnsinntekt</w:t>
            </w:r>
            <w:r w:rsidR="00AD685F">
              <w:t xml:space="preserve"> ved produksjon av kontraktens gjenstand</w:t>
            </w:r>
            <w:r w:rsidRPr="001E1336">
              <w:t>.</w:t>
            </w:r>
            <w:r>
              <w:t xml:space="preserve"> Aker-metoden</w:t>
            </w:r>
            <w:r w:rsidR="00377E9C">
              <w:t xml:space="preserve"> eller </w:t>
            </w:r>
            <w:r>
              <w:t>OECDs retningslinjer for aktsomhetsvurderinger for levelønn og leveinntekt</w:t>
            </w:r>
            <w:r w:rsidR="00377E9C">
              <w:t xml:space="preserve"> </w:t>
            </w:r>
            <w:r>
              <w:t>eller tilsvarende metode skal brukes. Informasjonen skal være offentlig tilgjengelig på leverandørens nettsider.</w:t>
            </w:r>
          </w:p>
          <w:p w14:paraId="4EF53705" w14:textId="77777777" w:rsidR="00570FB8" w:rsidRPr="00AC1507" w:rsidRDefault="00570FB8" w:rsidP="00D847CB"/>
        </w:tc>
      </w:tr>
      <w:tr w:rsidR="00570FB8" w:rsidRPr="00AC1507" w14:paraId="1E2F7031" w14:textId="77777777" w:rsidTr="00D847CB">
        <w:trPr>
          <w:trHeight w:val="285"/>
        </w:trPr>
        <w:tc>
          <w:tcPr>
            <w:tcW w:w="2220"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hideMark/>
          </w:tcPr>
          <w:p w14:paraId="0614F584" w14:textId="77777777" w:rsidR="00570FB8" w:rsidRPr="00AC1507" w:rsidRDefault="00570FB8" w:rsidP="00D847CB">
            <w:r w:rsidRPr="00AC1507">
              <w:t>Dokumentasjon:  </w:t>
            </w:r>
          </w:p>
        </w:tc>
        <w:tc>
          <w:tcPr>
            <w:tcW w:w="6975"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hideMark/>
          </w:tcPr>
          <w:p w14:paraId="6D1B7DA0" w14:textId="28F9F2C9" w:rsidR="00570FB8" w:rsidRDefault="00570FB8" w:rsidP="00D847CB">
            <w:r>
              <w:t>1. Leverandør</w:t>
            </w:r>
            <w:r w:rsidR="00DF6789">
              <w:t>en</w:t>
            </w:r>
            <w:r>
              <w:t xml:space="preserve"> har publisert en </w:t>
            </w:r>
            <w:r w:rsidRPr="00AC1507">
              <w:t>offentlig forpliktelse</w:t>
            </w:r>
            <w:r>
              <w:t xml:space="preserve"> til å fremme levelønn eller leveinntekt</w:t>
            </w:r>
            <w:r w:rsidR="00305A91">
              <w:t xml:space="preserve"> ved produksjon av kontraktens gjenstand</w:t>
            </w:r>
            <w:r>
              <w:t xml:space="preserve">. Dette tilsvarer trinn 1 i OECDs retningslinjer for aktsomhetsvurderinger for levelønn og leveinntekt. Lenke til nettside der denne informasjon er publisert skal legges ved. </w:t>
            </w:r>
          </w:p>
          <w:p w14:paraId="52AF5790" w14:textId="66A4CE8B" w:rsidR="00570FB8" w:rsidRDefault="00570FB8" w:rsidP="00D847CB">
            <w:r>
              <w:lastRenderedPageBreak/>
              <w:t>2. Leverandøren deltar aktivt i levelønn eller leveinntekts-flerpartsinitiativer</w:t>
            </w:r>
            <w:r w:rsidR="00305A91">
              <w:t xml:space="preserve"> under produksjon av kontraktens gjenstand</w:t>
            </w:r>
            <w:r>
              <w:t xml:space="preserve">. Initiativene er fasilitert av for eksempel sivilsamfunnsorganisasjoner, overstatlig organisasjon, bransjeorganisasjoner eller tilsvarende. </w:t>
            </w:r>
            <w:r w:rsidR="000B2BE1">
              <w:t>Lenke til leverandørens nettside der informasjon er publisert legges ved.</w:t>
            </w:r>
          </w:p>
          <w:p w14:paraId="2BBF13A5" w14:textId="77777777" w:rsidR="00570FB8" w:rsidRDefault="00570FB8" w:rsidP="00D847CB">
            <w:r>
              <w:t xml:space="preserve">3.  Leverandøren har offentlig tilgjengelig </w:t>
            </w:r>
            <w:r w:rsidRPr="004C14EF">
              <w:t xml:space="preserve">informasjon om levelønnsnivåer sammenlignet med nåværende lønnsnivå </w:t>
            </w:r>
            <w:r>
              <w:t xml:space="preserve">ved </w:t>
            </w:r>
            <w:r w:rsidRPr="004C14EF">
              <w:t>utvalgte produksjonsenheter der</w:t>
            </w:r>
            <w:r>
              <w:t xml:space="preserve"> kontraktens gjenstand er produsert</w:t>
            </w:r>
            <w:r w:rsidRPr="004C14EF">
              <w:t>.</w:t>
            </w:r>
            <w:r>
              <w:t xml:space="preserve"> Dette tilsvarer trinn 2 i OECDs retningslinjer for aktsomhetsvurderinger for levelønn og leveinntekt. Lenke til nettside der denne informasjon er publisert skal legges ved. </w:t>
            </w:r>
          </w:p>
          <w:p w14:paraId="5C615CBC" w14:textId="3A7AA235" w:rsidR="00570FB8" w:rsidRPr="00AC1507" w:rsidRDefault="00570FB8" w:rsidP="00D847CB">
            <w:r>
              <w:t>4. Leverandøren</w:t>
            </w:r>
            <w:r w:rsidDel="005A021B">
              <w:t xml:space="preserve"> </w:t>
            </w:r>
            <w:r>
              <w:t>har offentlig tilgjengelig informasjon om hvordan leverandørens innkjøpspraksis bidrar til å redusere gapet mellom nåværende lønn/inntekt og estimert levelønn/leveinntekt i leverandørkjeder</w:t>
            </w:r>
            <w:r w:rsidR="00305A91">
              <w:t xml:space="preserve"> </w:t>
            </w:r>
            <w:r w:rsidR="008C6E41">
              <w:t>under produksjon av</w:t>
            </w:r>
            <w:r w:rsidR="00305A91">
              <w:t xml:space="preserve"> kontraktens gjenstand</w:t>
            </w:r>
            <w:r>
              <w:t xml:space="preserve">. Dette tilsvarer trinn 3 i OECDs retningslinjer for aktsomhetsvurderinger for levelønn og leveinntekt. Lenke til leverandørens nettside der informasjon er publisert legges ved. </w:t>
            </w:r>
          </w:p>
        </w:tc>
      </w:tr>
      <w:tr w:rsidR="00570FB8" w:rsidRPr="00AC1507" w14:paraId="5318A984" w14:textId="77777777" w:rsidTr="00D847CB">
        <w:trPr>
          <w:trHeight w:val="285"/>
        </w:trPr>
        <w:tc>
          <w:tcPr>
            <w:tcW w:w="2220"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C1E4F5" w:themeFill="accent1" w:themeFillTint="33"/>
            <w:hideMark/>
          </w:tcPr>
          <w:p w14:paraId="1CEFBDC0" w14:textId="77777777" w:rsidR="00570FB8" w:rsidRPr="00AC1507" w:rsidRDefault="00570FB8" w:rsidP="00D847CB">
            <w:r w:rsidRPr="00AC1507">
              <w:lastRenderedPageBreak/>
              <w:t>Informasjon om tildelingskriteriet </w:t>
            </w:r>
          </w:p>
        </w:tc>
        <w:tc>
          <w:tcPr>
            <w:tcW w:w="6975"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C1E4F5" w:themeFill="accent1" w:themeFillTint="33"/>
            <w:hideMark/>
          </w:tcPr>
          <w:p w14:paraId="36E22FA8" w14:textId="2012D28E" w:rsidR="00080277" w:rsidRDefault="00080277" w:rsidP="00080277">
            <w:r>
              <w:t xml:space="preserve">Lønn og inntekter som er under et nivå som er nødvendig for å oppnå anstendige levevilkår og unngå fattigdom, oppstår når prispress fra kjøpende virksomheter videreføres nedover i leverandørkjeden. </w:t>
            </w:r>
            <w:r w:rsidR="00AB4DB1" w:rsidRPr="00AB4DB1">
              <w:t>OECD har utviklet retningslinjer for ansvarlig næringsliv som inkluderer prinsipper for levelønn.</w:t>
            </w:r>
            <w:r w:rsidR="00593FB7">
              <w:t xml:space="preserve"> </w:t>
            </w:r>
          </w:p>
          <w:p w14:paraId="73E493C3" w14:textId="31DE6164" w:rsidR="00204B4E" w:rsidRDefault="00570FB8" w:rsidP="00D847CB">
            <w:r>
              <w:t xml:space="preserve">Ifølge ILO er over en milliard arbeidere i verden arbeidende fattige. Det vil si at 1/3 av arbeiderne i de globale leverandørkjedene </w:t>
            </w:r>
            <w:hyperlink r:id="rId22">
              <w:r w:rsidRPr="3786FDF5">
                <w:rPr>
                  <w:rStyle w:val="Hyperkobling"/>
                </w:rPr>
                <w:t>ikke har en lønn de kan leve av</w:t>
              </w:r>
            </w:hyperlink>
            <w:r>
              <w:t xml:space="preserve">. </w:t>
            </w:r>
            <w:r w:rsidR="00893890">
              <w:t xml:space="preserve"> En av rotorsakene til brudd på grunnleggende menneskerettigheter i leverandørkjeden </w:t>
            </w:r>
            <w:r w:rsidR="00893890" w:rsidRPr="002240F1">
              <w:t xml:space="preserve">er </w:t>
            </w:r>
            <w:hyperlink r:id="rId23">
              <w:r w:rsidR="00893890" w:rsidRPr="21D1ABC1">
                <w:rPr>
                  <w:rStyle w:val="Hyperkobling"/>
                </w:rPr>
                <w:t>knyttet til fattigdom</w:t>
              </w:r>
            </w:hyperlink>
            <w:r w:rsidR="00893890">
              <w:rPr>
                <w:rStyle w:val="Hyperkobling"/>
              </w:rPr>
              <w:t xml:space="preserve"> og at arbeidere ikke kan overleve på lønnen de får utbetalt</w:t>
            </w:r>
            <w:r w:rsidR="00893890" w:rsidRPr="002240F1">
              <w:t xml:space="preserve">. </w:t>
            </w:r>
          </w:p>
          <w:p w14:paraId="438187D7" w14:textId="213180A1" w:rsidR="00570FB8" w:rsidRDefault="00416A3A" w:rsidP="00D847CB">
            <w:r>
              <w:t>Eksemp</w:t>
            </w:r>
            <w:r w:rsidR="00FD0958">
              <w:t>elvis er minimum</w:t>
            </w:r>
            <w:r w:rsidR="00815428">
              <w:t>s</w:t>
            </w:r>
            <w:r w:rsidR="00FD0958">
              <w:t>lønnen 80 % lavere enn en levelønn i</w:t>
            </w:r>
            <w:r w:rsidR="00570FB8">
              <w:t xml:space="preserve"> Bangladesh, der mesteparten av verdens tekstilproduksjon skjer. Det samme gjelder i mange andre industrier, som</w:t>
            </w:r>
            <w:r w:rsidR="00977C84">
              <w:t xml:space="preserve"> for eksempe</w:t>
            </w:r>
            <w:r w:rsidR="00CD4BBA">
              <w:t>l</w:t>
            </w:r>
            <w:r w:rsidR="00570FB8">
              <w:t xml:space="preserve"> i kaffeindustrien</w:t>
            </w:r>
            <w:r w:rsidR="0013435E">
              <w:t>,</w:t>
            </w:r>
            <w:r w:rsidR="00570FB8">
              <w:t xml:space="preserve"> der det er et kjent problem at betalingen til kaffebøndene </w:t>
            </w:r>
            <w:r w:rsidR="00C35C72">
              <w:t>er under leveinntektsnivå</w:t>
            </w:r>
            <w:r w:rsidR="00570FB8">
              <w:t xml:space="preserve">. </w:t>
            </w:r>
          </w:p>
          <w:p w14:paraId="04F5C748" w14:textId="77777777" w:rsidR="00570FB8" w:rsidRDefault="00570FB8" w:rsidP="00D847CB">
            <w:r>
              <w:t>En levelønn er en lønn som, i henhold til ILOs definisjon, er tilstrekkelig til å dekke levekostnadene for en husholdning, inkludert mat, bolig, helsevesen, utdanning, transport og sparing til uforutsette hendelser. OECDs retningslinjer for aktsomhetsvurderinger for levelønn og leveinntekt gir konkret veiledning om hvordan virksomheter skal adressere gapet mellom levelønn/leveinntekt og den reelle lønnen/inntekten arbeiderne i leverandørkjeden får utbetalt.</w:t>
            </w:r>
          </w:p>
          <w:p w14:paraId="63EABDB1" w14:textId="77777777" w:rsidR="00570FB8" w:rsidRDefault="00570FB8" w:rsidP="00D847CB">
            <w:hyperlink r:id="rId24">
              <w:r w:rsidRPr="7FE43215">
                <w:rPr>
                  <w:rStyle w:val="Hyperkobling"/>
                </w:rPr>
                <w:t>Anker-metoden</w:t>
              </w:r>
            </w:hyperlink>
            <w:r>
              <w:t xml:space="preserve"> er den anerkjente standarden, som OECD, Global Compact, CSRD, CSDDD og tvangsarbeidsforordningen refererer til som metode for å fastsette levelønn og leveinntekt. Anker-metoden er en anerkjent tilnærming som beregner lønninger basert på regionale levekostnader. Metoden tar hensyn til sentrale varer og tjenester som er nødvendige for å opprettholde en anstendig levestandard. Anker-metoden er tilpasset ILO prinsippene for utregning av levelønn.</w:t>
            </w:r>
          </w:p>
          <w:p w14:paraId="16014A09" w14:textId="77777777" w:rsidR="00570FB8" w:rsidRPr="00AC1507" w:rsidRDefault="00570FB8" w:rsidP="00D847CB">
            <w:r w:rsidRPr="00AC1507">
              <w:t>Ved å premiere leverandøre</w:t>
            </w:r>
            <w:r>
              <w:t>r</w:t>
            </w:r>
            <w:r w:rsidRPr="00AC1507">
              <w:t xml:space="preserve"> som</w:t>
            </w:r>
            <w:r>
              <w:t xml:space="preserve"> aktivt arbeider for en innkjøpspraksis som reduserer gapet mellom nåværende lønn/inntekt og estimert levelønn/leveinntekt,</w:t>
            </w:r>
            <w:r w:rsidRPr="00AC1507">
              <w:t xml:space="preserve"> minskes risikoen for brudd de grunnleggende menneskerettighetene i </w:t>
            </w:r>
            <w:r>
              <w:t>leverandørkjeden.</w:t>
            </w:r>
            <w:r w:rsidRPr="00AC1507">
              <w:t>  </w:t>
            </w:r>
          </w:p>
          <w:p w14:paraId="77407514" w14:textId="77777777" w:rsidR="00570FB8" w:rsidRDefault="00570FB8" w:rsidP="00D847CB">
            <w:r>
              <w:t xml:space="preserve">Veiledning om hvordan virksomheter kan sikre at de betaler tilstrekkelig for sine varer og tjenester for å muliggjøre at levelønn/leveinntekt utbetales finnes i </w:t>
            </w:r>
            <w:hyperlink r:id="rId25" w:history="1">
              <w:r w:rsidRPr="004364E9">
                <w:rPr>
                  <w:rStyle w:val="Hyperkobling"/>
                </w:rPr>
                <w:t>OECDs retningslinjer for aktsomhetsvurderinger for levelønn og leveinntekt</w:t>
              </w:r>
            </w:hyperlink>
            <w:r>
              <w:t xml:space="preserve">. </w:t>
            </w:r>
          </w:p>
          <w:p w14:paraId="7ED882A3" w14:textId="2230CEBD" w:rsidR="00570FB8" w:rsidRPr="00AC1507" w:rsidRDefault="00570FB8" w:rsidP="00D847CB">
            <w:hyperlink r:id="rId26" w:anchor=":~:text=I%20lovens%20forarbeider%20blir%20level%C3%B8nn,det%20er%20en%20reell%20level%C3%B8nn." w:history="1">
              <w:r w:rsidRPr="00812849">
                <w:rPr>
                  <w:rStyle w:val="Hyperkobling"/>
                </w:rPr>
                <w:t>Forbrukertilsynet</w:t>
              </w:r>
            </w:hyperlink>
            <w:r>
              <w:t xml:space="preserve"> og </w:t>
            </w:r>
            <w:hyperlink r:id="rId27" w:history="1">
              <w:r w:rsidRPr="00DD235E">
                <w:rPr>
                  <w:rStyle w:val="Hyperkobling"/>
                </w:rPr>
                <w:t>Global Compact</w:t>
              </w:r>
            </w:hyperlink>
            <w:r>
              <w:t xml:space="preserve"> er andre informasjonskilder. </w:t>
            </w:r>
          </w:p>
        </w:tc>
      </w:tr>
      <w:tr w:rsidR="00570FB8" w:rsidRPr="00AC1507" w14:paraId="551D3955" w14:textId="77777777" w:rsidTr="00D847CB">
        <w:trPr>
          <w:trHeight w:val="285"/>
        </w:trPr>
        <w:tc>
          <w:tcPr>
            <w:tcW w:w="2220"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auto"/>
            </w:tcBorders>
            <w:shd w:val="clear" w:color="auto" w:fill="FFFFFF" w:themeFill="background1"/>
          </w:tcPr>
          <w:p w14:paraId="742C01FE" w14:textId="77777777" w:rsidR="00570FB8" w:rsidRPr="00AC1507" w:rsidRDefault="00570FB8" w:rsidP="00D847CB">
            <w:r>
              <w:t>Spørsmål:</w:t>
            </w:r>
          </w:p>
        </w:tc>
        <w:tc>
          <w:tcPr>
            <w:tcW w:w="6975" w:type="dxa"/>
            <w:tcBorders>
              <w:top w:val="single" w:sz="6" w:space="0" w:color="45B0E1" w:themeColor="accent1" w:themeTint="99"/>
              <w:left w:val="single" w:sz="6" w:space="0" w:color="auto"/>
              <w:bottom w:val="single" w:sz="6" w:space="0" w:color="45B0E1" w:themeColor="accent1" w:themeTint="99"/>
              <w:right w:val="single" w:sz="6" w:space="0" w:color="45B0E1" w:themeColor="accent1" w:themeTint="99"/>
            </w:tcBorders>
            <w:shd w:val="clear" w:color="auto" w:fill="FFFFFF" w:themeFill="background1"/>
          </w:tcPr>
          <w:p w14:paraId="2A388398" w14:textId="3EE0F009" w:rsidR="00D163FE" w:rsidRPr="00AC1507" w:rsidRDefault="008F131C" w:rsidP="00C91B1A">
            <w:r w:rsidRPr="008F131C">
              <w:t>Skal det i veiledningen om dette tildelingskriteriet anbefales at det kun vurderes brukt i forbindelse med kvalifikasjonskrav</w:t>
            </w:r>
            <w:r w:rsidR="00426646">
              <w:t xml:space="preserve"> (1)</w:t>
            </w:r>
            <w:r w:rsidR="00CD3502">
              <w:t>?</w:t>
            </w:r>
          </w:p>
        </w:tc>
      </w:tr>
    </w:tbl>
    <w:p w14:paraId="3E57147B" w14:textId="77777777" w:rsidR="00570FB8" w:rsidRDefault="00570FB8" w:rsidP="00570FB8"/>
    <w:sectPr w:rsidR="00570FB8" w:rsidSect="00570FB8">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E695A" w14:textId="77777777" w:rsidR="005B3F97" w:rsidRDefault="005B3F97" w:rsidP="00570FB8">
      <w:pPr>
        <w:spacing w:after="0" w:line="240" w:lineRule="auto"/>
      </w:pPr>
      <w:r>
        <w:separator/>
      </w:r>
    </w:p>
  </w:endnote>
  <w:endnote w:type="continuationSeparator" w:id="0">
    <w:p w14:paraId="7FEA7232" w14:textId="77777777" w:rsidR="005B3F97" w:rsidRDefault="005B3F97" w:rsidP="00570FB8">
      <w:pPr>
        <w:spacing w:after="0" w:line="240" w:lineRule="auto"/>
      </w:pPr>
      <w:r>
        <w:continuationSeparator/>
      </w:r>
    </w:p>
  </w:endnote>
  <w:endnote w:type="continuationNotice" w:id="1">
    <w:p w14:paraId="0CAF903B" w14:textId="77777777" w:rsidR="005B3F97" w:rsidRDefault="005B3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Officina Sans Book">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FFE6" w14:textId="77777777" w:rsidR="00570FB8" w:rsidRDefault="00570FB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292400"/>
      <w:docPartObj>
        <w:docPartGallery w:val="Page Numbers (Bottom of Page)"/>
        <w:docPartUnique/>
      </w:docPartObj>
    </w:sdtPr>
    <w:sdtContent>
      <w:p w14:paraId="60388CED" w14:textId="77777777" w:rsidR="00570FB8" w:rsidRDefault="00570FB8">
        <w:pPr>
          <w:pStyle w:val="Bunntekst"/>
          <w:jc w:val="right"/>
        </w:pPr>
        <w:r>
          <w:fldChar w:fldCharType="begin"/>
        </w:r>
        <w:r>
          <w:instrText>PAGE   \* MERGEFORMAT</w:instrText>
        </w:r>
        <w:r>
          <w:fldChar w:fldCharType="separate"/>
        </w:r>
        <w:r>
          <w:t>2</w:t>
        </w:r>
        <w:r>
          <w:fldChar w:fldCharType="end"/>
        </w:r>
      </w:p>
    </w:sdtContent>
  </w:sdt>
  <w:p w14:paraId="74833C8E" w14:textId="77777777" w:rsidR="00570FB8" w:rsidRDefault="00570FB8" w:rsidP="00D847C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081699"/>
      <w:docPartObj>
        <w:docPartGallery w:val="Page Numbers (Bottom of Page)"/>
        <w:docPartUnique/>
      </w:docPartObj>
    </w:sdtPr>
    <w:sdtContent>
      <w:p w14:paraId="71ACDF70" w14:textId="77777777" w:rsidR="00570FB8" w:rsidRDefault="00570FB8">
        <w:pPr>
          <w:pStyle w:val="Bunntekst"/>
          <w:jc w:val="right"/>
        </w:pPr>
        <w:r>
          <w:fldChar w:fldCharType="begin"/>
        </w:r>
        <w:r>
          <w:instrText>PAGE   \* MERGEFORMAT</w:instrText>
        </w:r>
        <w:r>
          <w:fldChar w:fldCharType="separate"/>
        </w:r>
        <w:r>
          <w:t>2</w:t>
        </w:r>
        <w:r>
          <w:fldChar w:fldCharType="end"/>
        </w:r>
      </w:p>
    </w:sdtContent>
  </w:sdt>
  <w:p w14:paraId="1004C06E" w14:textId="77777777" w:rsidR="00570FB8" w:rsidRDefault="00570FB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86EEC" w14:textId="77777777" w:rsidR="005B3F97" w:rsidRDefault="005B3F97" w:rsidP="00570FB8">
      <w:pPr>
        <w:spacing w:after="0" w:line="240" w:lineRule="auto"/>
      </w:pPr>
      <w:r>
        <w:separator/>
      </w:r>
    </w:p>
  </w:footnote>
  <w:footnote w:type="continuationSeparator" w:id="0">
    <w:p w14:paraId="2A67C114" w14:textId="77777777" w:rsidR="005B3F97" w:rsidRDefault="005B3F97" w:rsidP="00570FB8">
      <w:pPr>
        <w:spacing w:after="0" w:line="240" w:lineRule="auto"/>
      </w:pPr>
      <w:r>
        <w:continuationSeparator/>
      </w:r>
    </w:p>
  </w:footnote>
  <w:footnote w:type="continuationNotice" w:id="1">
    <w:p w14:paraId="2AD75FB1" w14:textId="77777777" w:rsidR="005B3F97" w:rsidRDefault="005B3F97">
      <w:pPr>
        <w:spacing w:after="0" w:line="240" w:lineRule="auto"/>
      </w:pPr>
    </w:p>
  </w:footnote>
  <w:footnote w:id="2">
    <w:p w14:paraId="2BD3DAD7" w14:textId="77777777" w:rsidR="00570FB8" w:rsidRPr="0067676C" w:rsidRDefault="00570FB8" w:rsidP="00570FB8">
      <w:pPr>
        <w:pStyle w:val="Fotnotetekst"/>
        <w:rPr>
          <w:lang w:val="en-GB"/>
        </w:rPr>
      </w:pPr>
      <w:r>
        <w:rPr>
          <w:rStyle w:val="Fotnotereferanse"/>
        </w:rPr>
        <w:footnoteRef/>
      </w:r>
      <w:r w:rsidRPr="0067676C">
        <w:rPr>
          <w:lang w:val="en-GB"/>
        </w:rPr>
        <w:t xml:space="preserve"> </w:t>
      </w:r>
      <w:hyperlink r:id="rId1" w:history="1">
        <w:r w:rsidRPr="0067676C">
          <w:rPr>
            <w:rStyle w:val="Hyperkobling"/>
            <w:lang w:val="en-GB"/>
          </w:rPr>
          <w:t>Promoting resilience and preparedness in supply chains | OECD</w:t>
        </w:r>
      </w:hyperlink>
    </w:p>
  </w:footnote>
  <w:footnote w:id="3">
    <w:p w14:paraId="797F22F9" w14:textId="77777777" w:rsidR="00570FB8" w:rsidRDefault="00570FB8" w:rsidP="00570FB8">
      <w:pPr>
        <w:pStyle w:val="Fotnotetekst"/>
      </w:pPr>
      <w:r>
        <w:rPr>
          <w:rStyle w:val="Fotnotereferanse"/>
        </w:rPr>
        <w:footnoteRef/>
      </w:r>
      <w:r>
        <w:t xml:space="preserve"> </w:t>
      </w:r>
      <w:hyperlink r:id="rId2" w:history="1">
        <w:r w:rsidRPr="00F252ED">
          <w:rPr>
            <w:rStyle w:val="Hyperkobling"/>
          </w:rPr>
          <w:t>NOU 2024: 9 - regjeringen.no</w:t>
        </w:r>
      </w:hyperlink>
    </w:p>
  </w:footnote>
  <w:footnote w:id="4">
    <w:p w14:paraId="1D6DA57E" w14:textId="77777777" w:rsidR="00570FB8" w:rsidRPr="00D87600" w:rsidRDefault="00570FB8" w:rsidP="00570FB8">
      <w:pPr>
        <w:pStyle w:val="Fotnotetekst"/>
      </w:pPr>
      <w:r>
        <w:rPr>
          <w:rStyle w:val="Fotnotereferanse"/>
        </w:rPr>
        <w:footnoteRef/>
      </w:r>
      <w:r w:rsidRPr="00D87600">
        <w:t xml:space="preserve"> </w:t>
      </w:r>
      <w:hyperlink r:id="rId3" w:anchor="match_3" w:history="1">
        <w:r w:rsidRPr="00D87600">
          <w:rPr>
            <w:rStyle w:val="Hyperkobling"/>
          </w:rPr>
          <w:t>Meld. St. 9 (2024–2025) - regjeringen.no</w:t>
        </w:r>
      </w:hyperlink>
    </w:p>
  </w:footnote>
  <w:footnote w:id="5">
    <w:p w14:paraId="12729025" w14:textId="77777777" w:rsidR="00570FB8" w:rsidRDefault="00570FB8" w:rsidP="00570FB8">
      <w:pPr>
        <w:pStyle w:val="Fotnotetekst"/>
      </w:pPr>
      <w:r w:rsidRPr="6ED2E16F">
        <w:rPr>
          <w:rStyle w:val="Fotnotereferanse"/>
        </w:rPr>
        <w:footnoteRef/>
      </w:r>
      <w:r>
        <w:t xml:space="preserve"> </w:t>
      </w:r>
      <w:r w:rsidRPr="6ED2E16F">
        <w:rPr>
          <w:rFonts w:ascii="Aptos" w:eastAsia="Aptos" w:hAnsi="Aptos" w:cs="Aptos"/>
          <w:color w:val="000000" w:themeColor="text1"/>
          <w:sz w:val="16"/>
          <w:szCs w:val="16"/>
        </w:rPr>
        <w:t>Her menes alle produksjonsland i leverandørkjeden der utvinning og produksjon av råvare og/eller komponent/halvfabrikata og/eller ferdigvare, inklusive distribusjon og transport, skjer.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CEB1" w14:textId="77777777" w:rsidR="00570FB8" w:rsidRDefault="00570FB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D847CB" w14:paraId="48D81A81" w14:textId="77777777" w:rsidTr="00D847CB">
      <w:trPr>
        <w:trHeight w:val="300"/>
      </w:trPr>
      <w:tc>
        <w:tcPr>
          <w:tcW w:w="3020" w:type="dxa"/>
        </w:tcPr>
        <w:p w14:paraId="16C6B5A8" w14:textId="77777777" w:rsidR="00570FB8" w:rsidRDefault="00570FB8" w:rsidP="00D847CB">
          <w:pPr>
            <w:pStyle w:val="Topptekst"/>
            <w:ind w:left="-115"/>
          </w:pPr>
        </w:p>
      </w:tc>
      <w:tc>
        <w:tcPr>
          <w:tcW w:w="3020" w:type="dxa"/>
        </w:tcPr>
        <w:p w14:paraId="6033BDE7" w14:textId="77777777" w:rsidR="00570FB8" w:rsidRDefault="00570FB8" w:rsidP="00D847CB">
          <w:pPr>
            <w:pStyle w:val="Topptekst"/>
            <w:jc w:val="center"/>
          </w:pPr>
        </w:p>
      </w:tc>
      <w:tc>
        <w:tcPr>
          <w:tcW w:w="3020" w:type="dxa"/>
        </w:tcPr>
        <w:p w14:paraId="3C0938E2" w14:textId="77777777" w:rsidR="00570FB8" w:rsidRDefault="00570FB8" w:rsidP="00D847CB">
          <w:pPr>
            <w:pStyle w:val="Topptekst"/>
            <w:ind w:right="-115"/>
            <w:jc w:val="right"/>
          </w:pPr>
        </w:p>
      </w:tc>
    </w:tr>
  </w:tbl>
  <w:p w14:paraId="257DAFFD" w14:textId="278EFB90" w:rsidR="00570FB8" w:rsidRDefault="00570FB8" w:rsidP="00D847C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D847CB" w14:paraId="53CC4E1F" w14:textId="77777777" w:rsidTr="00D847CB">
      <w:trPr>
        <w:trHeight w:val="300"/>
      </w:trPr>
      <w:tc>
        <w:tcPr>
          <w:tcW w:w="3020" w:type="dxa"/>
        </w:tcPr>
        <w:p w14:paraId="3053B490" w14:textId="77777777" w:rsidR="00570FB8" w:rsidRDefault="00570FB8" w:rsidP="00D847CB">
          <w:pPr>
            <w:pStyle w:val="Topptekst"/>
            <w:ind w:left="-115"/>
          </w:pPr>
        </w:p>
      </w:tc>
      <w:tc>
        <w:tcPr>
          <w:tcW w:w="3020" w:type="dxa"/>
        </w:tcPr>
        <w:p w14:paraId="1642B442" w14:textId="77777777" w:rsidR="00570FB8" w:rsidRDefault="00570FB8" w:rsidP="00D847CB">
          <w:pPr>
            <w:pStyle w:val="Topptekst"/>
            <w:jc w:val="center"/>
          </w:pPr>
        </w:p>
      </w:tc>
      <w:tc>
        <w:tcPr>
          <w:tcW w:w="3020" w:type="dxa"/>
        </w:tcPr>
        <w:p w14:paraId="180A0772" w14:textId="77777777" w:rsidR="00570FB8" w:rsidRDefault="00570FB8" w:rsidP="00D847CB">
          <w:pPr>
            <w:pStyle w:val="Topptekst"/>
            <w:ind w:right="-115"/>
            <w:jc w:val="right"/>
          </w:pPr>
        </w:p>
      </w:tc>
    </w:tr>
  </w:tbl>
  <w:p w14:paraId="5FDDCD75" w14:textId="77777777" w:rsidR="00570FB8" w:rsidRDefault="00570FB8" w:rsidP="00D847C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48A"/>
    <w:multiLevelType w:val="hybridMultilevel"/>
    <w:tmpl w:val="D2349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516459"/>
    <w:multiLevelType w:val="hybridMultilevel"/>
    <w:tmpl w:val="DE78390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5D1F08"/>
    <w:multiLevelType w:val="multilevel"/>
    <w:tmpl w:val="5716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C28F5"/>
    <w:multiLevelType w:val="hybridMultilevel"/>
    <w:tmpl w:val="193420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F45498"/>
    <w:multiLevelType w:val="hybridMultilevel"/>
    <w:tmpl w:val="DF8452B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AF136CE"/>
    <w:multiLevelType w:val="hybridMultilevel"/>
    <w:tmpl w:val="0700DB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8E29B7"/>
    <w:multiLevelType w:val="hybridMultilevel"/>
    <w:tmpl w:val="2D7AF35E"/>
    <w:lvl w:ilvl="0" w:tplc="04C6635E">
      <w:start w:val="1"/>
      <w:numFmt w:val="decimal"/>
      <w:lvlText w:val="%1."/>
      <w:lvlJc w:val="left"/>
      <w:pPr>
        <w:tabs>
          <w:tab w:val="num" w:pos="720"/>
        </w:tabs>
        <w:ind w:left="720" w:hanging="360"/>
      </w:pPr>
    </w:lvl>
    <w:lvl w:ilvl="1" w:tplc="69A4397E" w:tentative="1">
      <w:start w:val="1"/>
      <w:numFmt w:val="decimal"/>
      <w:lvlText w:val="%2."/>
      <w:lvlJc w:val="left"/>
      <w:pPr>
        <w:tabs>
          <w:tab w:val="num" w:pos="1440"/>
        </w:tabs>
        <w:ind w:left="1440" w:hanging="360"/>
      </w:pPr>
    </w:lvl>
    <w:lvl w:ilvl="2" w:tplc="FB30FB66" w:tentative="1">
      <w:start w:val="1"/>
      <w:numFmt w:val="decimal"/>
      <w:lvlText w:val="%3."/>
      <w:lvlJc w:val="left"/>
      <w:pPr>
        <w:tabs>
          <w:tab w:val="num" w:pos="2160"/>
        </w:tabs>
        <w:ind w:left="2160" w:hanging="360"/>
      </w:pPr>
    </w:lvl>
    <w:lvl w:ilvl="3" w:tplc="2C4006E8" w:tentative="1">
      <w:start w:val="1"/>
      <w:numFmt w:val="decimal"/>
      <w:lvlText w:val="%4."/>
      <w:lvlJc w:val="left"/>
      <w:pPr>
        <w:tabs>
          <w:tab w:val="num" w:pos="2880"/>
        </w:tabs>
        <w:ind w:left="2880" w:hanging="360"/>
      </w:pPr>
    </w:lvl>
    <w:lvl w:ilvl="4" w:tplc="34F85480" w:tentative="1">
      <w:start w:val="1"/>
      <w:numFmt w:val="decimal"/>
      <w:lvlText w:val="%5."/>
      <w:lvlJc w:val="left"/>
      <w:pPr>
        <w:tabs>
          <w:tab w:val="num" w:pos="3600"/>
        </w:tabs>
        <w:ind w:left="3600" w:hanging="360"/>
      </w:pPr>
    </w:lvl>
    <w:lvl w:ilvl="5" w:tplc="4BC2D2C2" w:tentative="1">
      <w:start w:val="1"/>
      <w:numFmt w:val="decimal"/>
      <w:lvlText w:val="%6."/>
      <w:lvlJc w:val="left"/>
      <w:pPr>
        <w:tabs>
          <w:tab w:val="num" w:pos="4320"/>
        </w:tabs>
        <w:ind w:left="4320" w:hanging="360"/>
      </w:pPr>
    </w:lvl>
    <w:lvl w:ilvl="6" w:tplc="DC88DF46" w:tentative="1">
      <w:start w:val="1"/>
      <w:numFmt w:val="decimal"/>
      <w:lvlText w:val="%7."/>
      <w:lvlJc w:val="left"/>
      <w:pPr>
        <w:tabs>
          <w:tab w:val="num" w:pos="5040"/>
        </w:tabs>
        <w:ind w:left="5040" w:hanging="360"/>
      </w:pPr>
    </w:lvl>
    <w:lvl w:ilvl="7" w:tplc="221287E8" w:tentative="1">
      <w:start w:val="1"/>
      <w:numFmt w:val="decimal"/>
      <w:lvlText w:val="%8."/>
      <w:lvlJc w:val="left"/>
      <w:pPr>
        <w:tabs>
          <w:tab w:val="num" w:pos="5760"/>
        </w:tabs>
        <w:ind w:left="5760" w:hanging="360"/>
      </w:pPr>
    </w:lvl>
    <w:lvl w:ilvl="8" w:tplc="76E0D636" w:tentative="1">
      <w:start w:val="1"/>
      <w:numFmt w:val="decimal"/>
      <w:lvlText w:val="%9."/>
      <w:lvlJc w:val="left"/>
      <w:pPr>
        <w:tabs>
          <w:tab w:val="num" w:pos="6480"/>
        </w:tabs>
        <w:ind w:left="6480" w:hanging="360"/>
      </w:pPr>
    </w:lvl>
  </w:abstractNum>
  <w:abstractNum w:abstractNumId="7" w15:restartNumberingAfterBreak="0">
    <w:nsid w:val="1E194D87"/>
    <w:multiLevelType w:val="hybridMultilevel"/>
    <w:tmpl w:val="DF7071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ED3AA5"/>
    <w:multiLevelType w:val="hybridMultilevel"/>
    <w:tmpl w:val="FB349B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14C4E5D"/>
    <w:multiLevelType w:val="multilevel"/>
    <w:tmpl w:val="FEF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B31958"/>
    <w:multiLevelType w:val="hybridMultilevel"/>
    <w:tmpl w:val="0F8CE63E"/>
    <w:lvl w:ilvl="0" w:tplc="6DE8BBB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2DA75AD"/>
    <w:multiLevelType w:val="hybridMultilevel"/>
    <w:tmpl w:val="8BD025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BEF60FD"/>
    <w:multiLevelType w:val="hybridMultilevel"/>
    <w:tmpl w:val="07D000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F4F5A08"/>
    <w:multiLevelType w:val="hybridMultilevel"/>
    <w:tmpl w:val="482082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4F80876"/>
    <w:multiLevelType w:val="hybridMultilevel"/>
    <w:tmpl w:val="85884296"/>
    <w:lvl w:ilvl="0" w:tplc="6DE8BBB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D68B0F9"/>
    <w:multiLevelType w:val="hybridMultilevel"/>
    <w:tmpl w:val="FFFFFFFF"/>
    <w:lvl w:ilvl="0" w:tplc="D10EA3D2">
      <w:start w:val="1"/>
      <w:numFmt w:val="bullet"/>
      <w:lvlText w:val="·"/>
      <w:lvlJc w:val="left"/>
      <w:pPr>
        <w:ind w:left="720" w:hanging="360"/>
      </w:pPr>
      <w:rPr>
        <w:rFonts w:ascii="Symbol" w:hAnsi="Symbol" w:hint="default"/>
      </w:rPr>
    </w:lvl>
    <w:lvl w:ilvl="1" w:tplc="54F47CA0">
      <w:start w:val="1"/>
      <w:numFmt w:val="bullet"/>
      <w:lvlText w:val="o"/>
      <w:lvlJc w:val="left"/>
      <w:pPr>
        <w:ind w:left="1440" w:hanging="360"/>
      </w:pPr>
      <w:rPr>
        <w:rFonts w:ascii="Courier New" w:hAnsi="Courier New" w:hint="default"/>
      </w:rPr>
    </w:lvl>
    <w:lvl w:ilvl="2" w:tplc="9E3AC452">
      <w:start w:val="1"/>
      <w:numFmt w:val="bullet"/>
      <w:lvlText w:val=""/>
      <w:lvlJc w:val="left"/>
      <w:pPr>
        <w:ind w:left="2160" w:hanging="360"/>
      </w:pPr>
      <w:rPr>
        <w:rFonts w:ascii="Wingdings" w:hAnsi="Wingdings" w:hint="default"/>
      </w:rPr>
    </w:lvl>
    <w:lvl w:ilvl="3" w:tplc="F10CFF44">
      <w:start w:val="1"/>
      <w:numFmt w:val="bullet"/>
      <w:lvlText w:val=""/>
      <w:lvlJc w:val="left"/>
      <w:pPr>
        <w:ind w:left="2880" w:hanging="360"/>
      </w:pPr>
      <w:rPr>
        <w:rFonts w:ascii="Symbol" w:hAnsi="Symbol" w:hint="default"/>
      </w:rPr>
    </w:lvl>
    <w:lvl w:ilvl="4" w:tplc="7D5CD574">
      <w:start w:val="1"/>
      <w:numFmt w:val="bullet"/>
      <w:lvlText w:val="o"/>
      <w:lvlJc w:val="left"/>
      <w:pPr>
        <w:ind w:left="3600" w:hanging="360"/>
      </w:pPr>
      <w:rPr>
        <w:rFonts w:ascii="Courier New" w:hAnsi="Courier New" w:hint="default"/>
      </w:rPr>
    </w:lvl>
    <w:lvl w:ilvl="5" w:tplc="43580198">
      <w:start w:val="1"/>
      <w:numFmt w:val="bullet"/>
      <w:lvlText w:val=""/>
      <w:lvlJc w:val="left"/>
      <w:pPr>
        <w:ind w:left="4320" w:hanging="360"/>
      </w:pPr>
      <w:rPr>
        <w:rFonts w:ascii="Wingdings" w:hAnsi="Wingdings" w:hint="default"/>
      </w:rPr>
    </w:lvl>
    <w:lvl w:ilvl="6" w:tplc="645A4E50">
      <w:start w:val="1"/>
      <w:numFmt w:val="bullet"/>
      <w:lvlText w:val=""/>
      <w:lvlJc w:val="left"/>
      <w:pPr>
        <w:ind w:left="5040" w:hanging="360"/>
      </w:pPr>
      <w:rPr>
        <w:rFonts w:ascii="Symbol" w:hAnsi="Symbol" w:hint="default"/>
      </w:rPr>
    </w:lvl>
    <w:lvl w:ilvl="7" w:tplc="BEF0B4B2">
      <w:start w:val="1"/>
      <w:numFmt w:val="bullet"/>
      <w:lvlText w:val="o"/>
      <w:lvlJc w:val="left"/>
      <w:pPr>
        <w:ind w:left="5760" w:hanging="360"/>
      </w:pPr>
      <w:rPr>
        <w:rFonts w:ascii="Courier New" w:hAnsi="Courier New" w:hint="default"/>
      </w:rPr>
    </w:lvl>
    <w:lvl w:ilvl="8" w:tplc="C28ABE7C">
      <w:start w:val="1"/>
      <w:numFmt w:val="bullet"/>
      <w:lvlText w:val=""/>
      <w:lvlJc w:val="left"/>
      <w:pPr>
        <w:ind w:left="6480" w:hanging="360"/>
      </w:pPr>
      <w:rPr>
        <w:rFonts w:ascii="Wingdings" w:hAnsi="Wingdings" w:hint="default"/>
      </w:rPr>
    </w:lvl>
  </w:abstractNum>
  <w:abstractNum w:abstractNumId="16" w15:restartNumberingAfterBreak="0">
    <w:nsid w:val="655A6B25"/>
    <w:multiLevelType w:val="hybridMultilevel"/>
    <w:tmpl w:val="910615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73F35B9"/>
    <w:multiLevelType w:val="hybridMultilevel"/>
    <w:tmpl w:val="82E873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B4302F"/>
    <w:multiLevelType w:val="hybridMultilevel"/>
    <w:tmpl w:val="27007E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0F247DD"/>
    <w:multiLevelType w:val="hybridMultilevel"/>
    <w:tmpl w:val="675CBF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23D5D10"/>
    <w:multiLevelType w:val="hybridMultilevel"/>
    <w:tmpl w:val="1C08C34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8C32818"/>
    <w:multiLevelType w:val="hybridMultilevel"/>
    <w:tmpl w:val="5030B8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9CC6CB4"/>
    <w:multiLevelType w:val="hybridMultilevel"/>
    <w:tmpl w:val="23724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D196BB8"/>
    <w:multiLevelType w:val="hybridMultilevel"/>
    <w:tmpl w:val="DFA6766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EEE4BC4"/>
    <w:multiLevelType w:val="hybridMultilevel"/>
    <w:tmpl w:val="B39E24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72596270">
    <w:abstractNumId w:val="15"/>
  </w:num>
  <w:num w:numId="2" w16cid:durableId="1845437912">
    <w:abstractNumId w:val="0"/>
  </w:num>
  <w:num w:numId="3" w16cid:durableId="1490561855">
    <w:abstractNumId w:val="9"/>
  </w:num>
  <w:num w:numId="4" w16cid:durableId="556623666">
    <w:abstractNumId w:val="2"/>
  </w:num>
  <w:num w:numId="5" w16cid:durableId="141191950">
    <w:abstractNumId w:val="14"/>
  </w:num>
  <w:num w:numId="6" w16cid:durableId="2094930390">
    <w:abstractNumId w:val="4"/>
  </w:num>
  <w:num w:numId="7" w16cid:durableId="937063925">
    <w:abstractNumId w:val="18"/>
  </w:num>
  <w:num w:numId="8" w16cid:durableId="1209679487">
    <w:abstractNumId w:val="10"/>
  </w:num>
  <w:num w:numId="9" w16cid:durableId="1589196912">
    <w:abstractNumId w:val="17"/>
  </w:num>
  <w:num w:numId="10" w16cid:durableId="167524951">
    <w:abstractNumId w:val="12"/>
  </w:num>
  <w:num w:numId="11" w16cid:durableId="1400789698">
    <w:abstractNumId w:val="3"/>
  </w:num>
  <w:num w:numId="12" w16cid:durableId="1454523903">
    <w:abstractNumId w:val="1"/>
  </w:num>
  <w:num w:numId="13" w16cid:durableId="618299015">
    <w:abstractNumId w:val="13"/>
  </w:num>
  <w:num w:numId="14" w16cid:durableId="1104765262">
    <w:abstractNumId w:val="19"/>
  </w:num>
  <w:num w:numId="15" w16cid:durableId="1801415933">
    <w:abstractNumId w:val="23"/>
  </w:num>
  <w:num w:numId="16" w16cid:durableId="15278700">
    <w:abstractNumId w:val="11"/>
  </w:num>
  <w:num w:numId="17" w16cid:durableId="1390229029">
    <w:abstractNumId w:val="22"/>
  </w:num>
  <w:num w:numId="18" w16cid:durableId="958298614">
    <w:abstractNumId w:val="8"/>
  </w:num>
  <w:num w:numId="19" w16cid:durableId="877165285">
    <w:abstractNumId w:val="21"/>
  </w:num>
  <w:num w:numId="20" w16cid:durableId="705712722">
    <w:abstractNumId w:val="16"/>
  </w:num>
  <w:num w:numId="21" w16cid:durableId="650208131">
    <w:abstractNumId w:val="6"/>
  </w:num>
  <w:num w:numId="22" w16cid:durableId="997154288">
    <w:abstractNumId w:val="5"/>
  </w:num>
  <w:num w:numId="23" w16cid:durableId="960843076">
    <w:abstractNumId w:val="24"/>
  </w:num>
  <w:num w:numId="24" w16cid:durableId="886180758">
    <w:abstractNumId w:val="7"/>
  </w:num>
  <w:num w:numId="25" w16cid:durableId="21355211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B8"/>
    <w:rsid w:val="0005083D"/>
    <w:rsid w:val="00051AF4"/>
    <w:rsid w:val="00061CDE"/>
    <w:rsid w:val="000759A1"/>
    <w:rsid w:val="00080277"/>
    <w:rsid w:val="00084584"/>
    <w:rsid w:val="00096035"/>
    <w:rsid w:val="000A418E"/>
    <w:rsid w:val="000B2BE1"/>
    <w:rsid w:val="000B732E"/>
    <w:rsid w:val="000B7E93"/>
    <w:rsid w:val="000F769D"/>
    <w:rsid w:val="00103DEE"/>
    <w:rsid w:val="00103F95"/>
    <w:rsid w:val="001178B1"/>
    <w:rsid w:val="0013435E"/>
    <w:rsid w:val="00147FA2"/>
    <w:rsid w:val="00161F2E"/>
    <w:rsid w:val="001C3553"/>
    <w:rsid w:val="001C5078"/>
    <w:rsid w:val="001C5EB7"/>
    <w:rsid w:val="001D49EA"/>
    <w:rsid w:val="001F3F77"/>
    <w:rsid w:val="00204B4E"/>
    <w:rsid w:val="00221C7B"/>
    <w:rsid w:val="002379B8"/>
    <w:rsid w:val="002464E1"/>
    <w:rsid w:val="0025487D"/>
    <w:rsid w:val="00254B64"/>
    <w:rsid w:val="00260721"/>
    <w:rsid w:val="002676FD"/>
    <w:rsid w:val="00270BC8"/>
    <w:rsid w:val="0028753E"/>
    <w:rsid w:val="002E3D5A"/>
    <w:rsid w:val="002E4C06"/>
    <w:rsid w:val="002E5CA3"/>
    <w:rsid w:val="002F369C"/>
    <w:rsid w:val="00305A91"/>
    <w:rsid w:val="00321271"/>
    <w:rsid w:val="00341F48"/>
    <w:rsid w:val="00377E9C"/>
    <w:rsid w:val="003A39D7"/>
    <w:rsid w:val="003A4A09"/>
    <w:rsid w:val="003C497D"/>
    <w:rsid w:val="003D004B"/>
    <w:rsid w:val="003E0C68"/>
    <w:rsid w:val="00415C84"/>
    <w:rsid w:val="00416818"/>
    <w:rsid w:val="00416A3A"/>
    <w:rsid w:val="004219D4"/>
    <w:rsid w:val="00426646"/>
    <w:rsid w:val="00457685"/>
    <w:rsid w:val="0046358A"/>
    <w:rsid w:val="00472519"/>
    <w:rsid w:val="00480520"/>
    <w:rsid w:val="004839A2"/>
    <w:rsid w:val="004A03A8"/>
    <w:rsid w:val="004B560E"/>
    <w:rsid w:val="004D4DA2"/>
    <w:rsid w:val="004F56CA"/>
    <w:rsid w:val="00502B15"/>
    <w:rsid w:val="0053176E"/>
    <w:rsid w:val="0055518F"/>
    <w:rsid w:val="00561555"/>
    <w:rsid w:val="005647F6"/>
    <w:rsid w:val="00565A40"/>
    <w:rsid w:val="00570FB8"/>
    <w:rsid w:val="005728D5"/>
    <w:rsid w:val="005751A8"/>
    <w:rsid w:val="005905AC"/>
    <w:rsid w:val="00593FB7"/>
    <w:rsid w:val="005B1AB1"/>
    <w:rsid w:val="005B3F97"/>
    <w:rsid w:val="005B632B"/>
    <w:rsid w:val="005C6938"/>
    <w:rsid w:val="005D0E13"/>
    <w:rsid w:val="005D14EB"/>
    <w:rsid w:val="0061162B"/>
    <w:rsid w:val="00661A66"/>
    <w:rsid w:val="00667BCC"/>
    <w:rsid w:val="00671A8A"/>
    <w:rsid w:val="006B36BB"/>
    <w:rsid w:val="006C611D"/>
    <w:rsid w:val="006E6626"/>
    <w:rsid w:val="006F1D0C"/>
    <w:rsid w:val="006F50F0"/>
    <w:rsid w:val="007078D6"/>
    <w:rsid w:val="00717BE4"/>
    <w:rsid w:val="00733606"/>
    <w:rsid w:val="007379A7"/>
    <w:rsid w:val="00744B32"/>
    <w:rsid w:val="00767F3E"/>
    <w:rsid w:val="007D0863"/>
    <w:rsid w:val="007D09B4"/>
    <w:rsid w:val="007D6FDD"/>
    <w:rsid w:val="00815428"/>
    <w:rsid w:val="00840BF7"/>
    <w:rsid w:val="00852B73"/>
    <w:rsid w:val="00875694"/>
    <w:rsid w:val="00893890"/>
    <w:rsid w:val="008C2A54"/>
    <w:rsid w:val="008C6E41"/>
    <w:rsid w:val="008D3601"/>
    <w:rsid w:val="008E5806"/>
    <w:rsid w:val="008F131C"/>
    <w:rsid w:val="00916AAA"/>
    <w:rsid w:val="00934FB4"/>
    <w:rsid w:val="00936F07"/>
    <w:rsid w:val="009528FA"/>
    <w:rsid w:val="00974876"/>
    <w:rsid w:val="00977C84"/>
    <w:rsid w:val="00984A5A"/>
    <w:rsid w:val="00996D16"/>
    <w:rsid w:val="009A3935"/>
    <w:rsid w:val="009B068E"/>
    <w:rsid w:val="009B3943"/>
    <w:rsid w:val="00A333A4"/>
    <w:rsid w:val="00A35B62"/>
    <w:rsid w:val="00A54F85"/>
    <w:rsid w:val="00A609EB"/>
    <w:rsid w:val="00A94EBF"/>
    <w:rsid w:val="00AB4DB1"/>
    <w:rsid w:val="00AB7A59"/>
    <w:rsid w:val="00AD17BC"/>
    <w:rsid w:val="00AD5296"/>
    <w:rsid w:val="00AD685F"/>
    <w:rsid w:val="00AE5539"/>
    <w:rsid w:val="00B044DA"/>
    <w:rsid w:val="00B23F40"/>
    <w:rsid w:val="00B3246A"/>
    <w:rsid w:val="00B45577"/>
    <w:rsid w:val="00B547C8"/>
    <w:rsid w:val="00B9471F"/>
    <w:rsid w:val="00B96E20"/>
    <w:rsid w:val="00BA286F"/>
    <w:rsid w:val="00BB1808"/>
    <w:rsid w:val="00C22FCF"/>
    <w:rsid w:val="00C2540B"/>
    <w:rsid w:val="00C27C4A"/>
    <w:rsid w:val="00C32AF7"/>
    <w:rsid w:val="00C33035"/>
    <w:rsid w:val="00C35C72"/>
    <w:rsid w:val="00C41ABD"/>
    <w:rsid w:val="00C60FC2"/>
    <w:rsid w:val="00C6639C"/>
    <w:rsid w:val="00C734D8"/>
    <w:rsid w:val="00C91B1A"/>
    <w:rsid w:val="00CA2F72"/>
    <w:rsid w:val="00CC71DE"/>
    <w:rsid w:val="00CD3502"/>
    <w:rsid w:val="00CD4BBA"/>
    <w:rsid w:val="00D163FE"/>
    <w:rsid w:val="00D2797F"/>
    <w:rsid w:val="00D336AD"/>
    <w:rsid w:val="00D57608"/>
    <w:rsid w:val="00D716B9"/>
    <w:rsid w:val="00D77BA2"/>
    <w:rsid w:val="00D847CB"/>
    <w:rsid w:val="00D87A25"/>
    <w:rsid w:val="00D944C3"/>
    <w:rsid w:val="00DD32E0"/>
    <w:rsid w:val="00DD495B"/>
    <w:rsid w:val="00DE407F"/>
    <w:rsid w:val="00DF5B7B"/>
    <w:rsid w:val="00DF6789"/>
    <w:rsid w:val="00E023BE"/>
    <w:rsid w:val="00E24C1C"/>
    <w:rsid w:val="00E73C40"/>
    <w:rsid w:val="00E74620"/>
    <w:rsid w:val="00EB3CA8"/>
    <w:rsid w:val="00ED58D2"/>
    <w:rsid w:val="00F0458F"/>
    <w:rsid w:val="00F04A9F"/>
    <w:rsid w:val="00F21066"/>
    <w:rsid w:val="00F26ED7"/>
    <w:rsid w:val="00F357C8"/>
    <w:rsid w:val="00F35A0A"/>
    <w:rsid w:val="00F70547"/>
    <w:rsid w:val="00F81849"/>
    <w:rsid w:val="00F8568D"/>
    <w:rsid w:val="00F9324D"/>
    <w:rsid w:val="00FA2B1D"/>
    <w:rsid w:val="00FD0958"/>
    <w:rsid w:val="00FD4C07"/>
    <w:rsid w:val="04F80E5A"/>
    <w:rsid w:val="1D2A28A8"/>
    <w:rsid w:val="20835B7F"/>
    <w:rsid w:val="26F131F8"/>
    <w:rsid w:val="5B8815A8"/>
    <w:rsid w:val="5EBD85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AC3B5"/>
  <w15:chartTrackingRefBased/>
  <w15:docId w15:val="{5D709686-1C0A-4E2C-B6FC-D1A066FA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B8"/>
    <w:pPr>
      <w:spacing w:line="259" w:lineRule="auto"/>
    </w:pPr>
    <w:rPr>
      <w:sz w:val="18"/>
      <w:szCs w:val="22"/>
    </w:rPr>
  </w:style>
  <w:style w:type="paragraph" w:styleId="Overskrift1">
    <w:name w:val="heading 1"/>
    <w:basedOn w:val="Normal"/>
    <w:next w:val="Normal"/>
    <w:link w:val="Overskrift1Tegn"/>
    <w:uiPriority w:val="9"/>
    <w:qFormat/>
    <w:rsid w:val="00570F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70F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570FB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70FB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70FB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70FB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70FB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70FB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70FB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0FB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570FB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570FB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70FB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70FB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70FB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70FB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70FB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70FB8"/>
    <w:rPr>
      <w:rFonts w:eastAsiaTheme="majorEastAsia" w:cstheme="majorBidi"/>
      <w:color w:val="272727" w:themeColor="text1" w:themeTint="D8"/>
    </w:rPr>
  </w:style>
  <w:style w:type="paragraph" w:styleId="Tittel">
    <w:name w:val="Title"/>
    <w:basedOn w:val="Normal"/>
    <w:next w:val="Normal"/>
    <w:link w:val="TittelTegn"/>
    <w:uiPriority w:val="10"/>
    <w:qFormat/>
    <w:rsid w:val="00570F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70FB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70FB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70FB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70FB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70FB8"/>
    <w:rPr>
      <w:i/>
      <w:iCs/>
      <w:color w:val="404040" w:themeColor="text1" w:themeTint="BF"/>
    </w:rPr>
  </w:style>
  <w:style w:type="paragraph" w:styleId="Listeavsnitt">
    <w:name w:val="List Paragraph"/>
    <w:basedOn w:val="Normal"/>
    <w:uiPriority w:val="34"/>
    <w:qFormat/>
    <w:rsid w:val="00570FB8"/>
    <w:pPr>
      <w:ind w:left="720"/>
      <w:contextualSpacing/>
    </w:pPr>
  </w:style>
  <w:style w:type="character" w:styleId="Sterkutheving">
    <w:name w:val="Intense Emphasis"/>
    <w:basedOn w:val="Standardskriftforavsnitt"/>
    <w:uiPriority w:val="21"/>
    <w:qFormat/>
    <w:rsid w:val="00570FB8"/>
    <w:rPr>
      <w:i/>
      <w:iCs/>
      <w:color w:val="0F4761" w:themeColor="accent1" w:themeShade="BF"/>
    </w:rPr>
  </w:style>
  <w:style w:type="paragraph" w:styleId="Sterktsitat">
    <w:name w:val="Intense Quote"/>
    <w:basedOn w:val="Normal"/>
    <w:next w:val="Normal"/>
    <w:link w:val="SterktsitatTegn"/>
    <w:uiPriority w:val="30"/>
    <w:qFormat/>
    <w:rsid w:val="00570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70FB8"/>
    <w:rPr>
      <w:i/>
      <w:iCs/>
      <w:color w:val="0F4761" w:themeColor="accent1" w:themeShade="BF"/>
    </w:rPr>
  </w:style>
  <w:style w:type="character" w:styleId="Sterkreferanse">
    <w:name w:val="Intense Reference"/>
    <w:basedOn w:val="Standardskriftforavsnitt"/>
    <w:uiPriority w:val="32"/>
    <w:qFormat/>
    <w:rsid w:val="00570FB8"/>
    <w:rPr>
      <w:b/>
      <w:bCs/>
      <w:smallCaps/>
      <w:color w:val="0F4761" w:themeColor="accent1" w:themeShade="BF"/>
      <w:spacing w:val="5"/>
    </w:rPr>
  </w:style>
  <w:style w:type="character" w:styleId="Hyperkobling">
    <w:name w:val="Hyperlink"/>
    <w:basedOn w:val="Standardskriftforavsnitt"/>
    <w:uiPriority w:val="99"/>
    <w:unhideWhenUsed/>
    <w:rsid w:val="00570FB8"/>
    <w:rPr>
      <w:color w:val="467886" w:themeColor="hyperlink"/>
      <w:u w:val="single"/>
    </w:rPr>
  </w:style>
  <w:style w:type="character" w:styleId="Merknadsreferanse">
    <w:name w:val="annotation reference"/>
    <w:basedOn w:val="Standardskriftforavsnitt"/>
    <w:uiPriority w:val="99"/>
    <w:semiHidden/>
    <w:unhideWhenUsed/>
    <w:rsid w:val="00570FB8"/>
    <w:rPr>
      <w:sz w:val="16"/>
      <w:szCs w:val="16"/>
    </w:rPr>
  </w:style>
  <w:style w:type="paragraph" w:styleId="Merknadstekst">
    <w:name w:val="annotation text"/>
    <w:basedOn w:val="Normal"/>
    <w:link w:val="MerknadstekstTegn"/>
    <w:uiPriority w:val="99"/>
    <w:unhideWhenUsed/>
    <w:rsid w:val="00570FB8"/>
    <w:pPr>
      <w:spacing w:after="0" w:line="240" w:lineRule="auto"/>
    </w:pPr>
    <w:rPr>
      <w:rFonts w:ascii="NewCenturySchlbk" w:eastAsia="Times New Roman" w:hAnsi="NewCenturySchlbk" w:cs="Times New Roman"/>
      <w:kern w:val="0"/>
      <w:sz w:val="20"/>
      <w:szCs w:val="20"/>
      <w14:ligatures w14:val="none"/>
    </w:rPr>
  </w:style>
  <w:style w:type="character" w:customStyle="1" w:styleId="MerknadstekstTegn">
    <w:name w:val="Merknadstekst Tegn"/>
    <w:basedOn w:val="Standardskriftforavsnitt"/>
    <w:link w:val="Merknadstekst"/>
    <w:uiPriority w:val="99"/>
    <w:rsid w:val="00570FB8"/>
    <w:rPr>
      <w:rFonts w:ascii="NewCenturySchlbk" w:eastAsia="Times New Roman" w:hAnsi="NewCenturySchlbk" w:cs="Times New Roman"/>
      <w:kern w:val="0"/>
      <w:sz w:val="20"/>
      <w:szCs w:val="20"/>
      <w14:ligatures w14:val="none"/>
    </w:rPr>
  </w:style>
  <w:style w:type="character" w:styleId="Fotnotereferanse">
    <w:name w:val="footnote reference"/>
    <w:basedOn w:val="Standardskriftforavsnitt"/>
    <w:uiPriority w:val="99"/>
    <w:semiHidden/>
    <w:unhideWhenUsed/>
    <w:rsid w:val="00570FB8"/>
    <w:rPr>
      <w:vertAlign w:val="superscript"/>
    </w:rPr>
  </w:style>
  <w:style w:type="character" w:customStyle="1" w:styleId="FotnotetekstTegn">
    <w:name w:val="Fotnotetekst Tegn"/>
    <w:basedOn w:val="Standardskriftforavsnitt"/>
    <w:link w:val="Fotnotetekst"/>
    <w:uiPriority w:val="99"/>
    <w:semiHidden/>
    <w:rsid w:val="00570FB8"/>
    <w:rPr>
      <w:rFonts w:ascii="NewCenturySchlbk" w:eastAsia="Times New Roman" w:hAnsi="NewCenturySchlbk" w:cs="Times New Roman"/>
      <w:sz w:val="20"/>
      <w:szCs w:val="20"/>
    </w:rPr>
  </w:style>
  <w:style w:type="paragraph" w:styleId="Fotnotetekst">
    <w:name w:val="footnote text"/>
    <w:basedOn w:val="Normal"/>
    <w:link w:val="FotnotetekstTegn"/>
    <w:uiPriority w:val="99"/>
    <w:semiHidden/>
    <w:unhideWhenUsed/>
    <w:rsid w:val="00570FB8"/>
    <w:pPr>
      <w:spacing w:after="0" w:line="240" w:lineRule="auto"/>
    </w:pPr>
    <w:rPr>
      <w:rFonts w:ascii="NewCenturySchlbk" w:eastAsia="Times New Roman" w:hAnsi="NewCenturySchlbk" w:cs="Times New Roman"/>
      <w:sz w:val="20"/>
      <w:szCs w:val="20"/>
    </w:rPr>
  </w:style>
  <w:style w:type="character" w:customStyle="1" w:styleId="FotnotetekstTegn1">
    <w:name w:val="Fotnotetekst Tegn1"/>
    <w:basedOn w:val="Standardskriftforavsnitt"/>
    <w:uiPriority w:val="99"/>
    <w:semiHidden/>
    <w:rsid w:val="00570FB8"/>
    <w:rPr>
      <w:sz w:val="20"/>
      <w:szCs w:val="20"/>
    </w:rPr>
  </w:style>
  <w:style w:type="character" w:styleId="Omtale">
    <w:name w:val="Mention"/>
    <w:basedOn w:val="Standardskriftforavsnitt"/>
    <w:uiPriority w:val="99"/>
    <w:unhideWhenUsed/>
    <w:rsid w:val="00570FB8"/>
    <w:rPr>
      <w:color w:val="2B579A"/>
      <w:shd w:val="clear" w:color="auto" w:fill="E1DFDD"/>
    </w:rPr>
  </w:style>
  <w:style w:type="character" w:styleId="Ulstomtale">
    <w:name w:val="Unresolved Mention"/>
    <w:basedOn w:val="Standardskriftforavsnitt"/>
    <w:uiPriority w:val="99"/>
    <w:semiHidden/>
    <w:unhideWhenUsed/>
    <w:rsid w:val="00570FB8"/>
    <w:rPr>
      <w:color w:val="605E5C"/>
      <w:shd w:val="clear" w:color="auto" w:fill="E1DFDD"/>
    </w:rPr>
  </w:style>
  <w:style w:type="paragraph" w:styleId="Revisjon">
    <w:name w:val="Revision"/>
    <w:hidden/>
    <w:uiPriority w:val="99"/>
    <w:semiHidden/>
    <w:rsid w:val="00570FB8"/>
    <w:pPr>
      <w:spacing w:after="0" w:line="240" w:lineRule="auto"/>
    </w:pPr>
    <w:rPr>
      <w:sz w:val="22"/>
      <w:szCs w:val="22"/>
    </w:rPr>
  </w:style>
  <w:style w:type="paragraph" w:styleId="Kommentaremne">
    <w:name w:val="annotation subject"/>
    <w:basedOn w:val="Merknadstekst"/>
    <w:next w:val="Merknadstekst"/>
    <w:link w:val="KommentaremneTegn"/>
    <w:uiPriority w:val="99"/>
    <w:semiHidden/>
    <w:unhideWhenUsed/>
    <w:rsid w:val="00570FB8"/>
    <w:pPr>
      <w:spacing w:after="160"/>
    </w:pPr>
    <w:rPr>
      <w:rFonts w:asciiTheme="minorHAnsi" w:eastAsiaTheme="minorHAnsi" w:hAnsiTheme="minorHAnsi" w:cstheme="minorBidi"/>
      <w:b/>
      <w:bCs/>
      <w:kern w:val="2"/>
      <w14:ligatures w14:val="standardContextual"/>
    </w:rPr>
  </w:style>
  <w:style w:type="character" w:customStyle="1" w:styleId="KommentaremneTegn">
    <w:name w:val="Kommentaremne Tegn"/>
    <w:basedOn w:val="MerknadstekstTegn"/>
    <w:link w:val="Kommentaremne"/>
    <w:uiPriority w:val="99"/>
    <w:semiHidden/>
    <w:rsid w:val="00570FB8"/>
    <w:rPr>
      <w:rFonts w:ascii="NewCenturySchlbk" w:eastAsia="Times New Roman" w:hAnsi="NewCenturySchlbk" w:cs="Times New Roman"/>
      <w:b/>
      <w:bCs/>
      <w:kern w:val="0"/>
      <w:sz w:val="20"/>
      <w:szCs w:val="20"/>
      <w14:ligatures w14:val="none"/>
    </w:rPr>
  </w:style>
  <w:style w:type="paragraph" w:styleId="Topptekst">
    <w:name w:val="header"/>
    <w:basedOn w:val="Normal"/>
    <w:link w:val="TopptekstTegn"/>
    <w:uiPriority w:val="99"/>
    <w:unhideWhenUsed/>
    <w:rsid w:val="00570FB8"/>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570FB8"/>
    <w:rPr>
      <w:sz w:val="18"/>
      <w:szCs w:val="22"/>
    </w:rPr>
  </w:style>
  <w:style w:type="paragraph" w:styleId="Bunntekst">
    <w:name w:val="footer"/>
    <w:basedOn w:val="Normal"/>
    <w:link w:val="BunntekstTegn"/>
    <w:uiPriority w:val="99"/>
    <w:unhideWhenUsed/>
    <w:rsid w:val="00570FB8"/>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570FB8"/>
    <w:rPr>
      <w:sz w:val="18"/>
      <w:szCs w:val="22"/>
    </w:rPr>
  </w:style>
  <w:style w:type="character" w:styleId="Fulgthyperkobling">
    <w:name w:val="FollowedHyperlink"/>
    <w:basedOn w:val="Standardskriftforavsnitt"/>
    <w:uiPriority w:val="99"/>
    <w:semiHidden/>
    <w:unhideWhenUsed/>
    <w:rsid w:val="00570FB8"/>
    <w:rPr>
      <w:color w:val="96607D" w:themeColor="followedHyperlink"/>
      <w:u w:val="single"/>
    </w:rPr>
  </w:style>
  <w:style w:type="table" w:styleId="Tabellrutenett">
    <w:name w:val="Table Grid"/>
    <w:basedOn w:val="Vanligtabell"/>
    <w:uiPriority w:val="59"/>
    <w:rsid w:val="00570F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dir.no/felleslosninger/eformidling/782" TargetMode="External"/><Relationship Id="rId18" Type="http://schemas.openxmlformats.org/officeDocument/2006/relationships/hyperlink" Target="https://standardsmap.org/en/home" TargetMode="External"/><Relationship Id="rId26" Type="http://schemas.openxmlformats.org/officeDocument/2006/relationships/hyperlink" Target="https://www.forbrukertilsynet.no/vi-jobber-med/apenhetsloven/hva-er-levelonn" TargetMode="External"/><Relationship Id="rId3" Type="http://schemas.openxmlformats.org/officeDocument/2006/relationships/customXml" Target="../customXml/item3.xml"/><Relationship Id="rId21" Type="http://schemas.openxmlformats.org/officeDocument/2006/relationships/hyperlink" Target="https://www.fairphone.com/en/impact/source-map-transparenc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mottak@dfo.no" TargetMode="External"/><Relationship Id="rId17" Type="http://schemas.openxmlformats.org/officeDocument/2006/relationships/hyperlink" Target="https://www.forbrukertilsynet.no/vi-jobber-med/apenhetsloven" TargetMode="External"/><Relationship Id="rId25" Type="http://schemas.openxmlformats.org/officeDocument/2006/relationships/hyperlink" Target="https://www.oecd.org/en/events/2024/10/launch-of-the-oecd-handbook-on-due-diligence-for-enabling-living-incomes-and-living-wages-in-agriculture-garment-and-footwear-supply-chains.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responsiblebusiness.no/oecds-sektorveiledere/metoden-aktsomhetsvurdering/" TargetMode="External"/><Relationship Id="rId20" Type="http://schemas.openxmlformats.org/officeDocument/2006/relationships/hyperlink" Target="https://standardsmap.org/en/hom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loballivingwage.org/about/anker-methodology/"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jonas@etiskhandel.no" TargetMode="External"/><Relationship Id="rId23" Type="http://schemas.openxmlformats.org/officeDocument/2006/relationships/hyperlink" Target="https://unglobalcompact.org/what-is-gc/our-work/social/povert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tiskhandel.no/aktuelle-saker/etisk-handel-norge-lanserer-oversikt-over-ulike-merke-og-sertifiseringsordninger-for-a-bidra-til-okt-kompetanse-i-markede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y.ahlstrom@dfo.no" TargetMode="External"/><Relationship Id="rId22" Type="http://schemas.openxmlformats.org/officeDocument/2006/relationships/hyperlink" Target="https://forwardfaster.unglobalcompact.org/living-wage" TargetMode="External"/><Relationship Id="rId27" Type="http://schemas.openxmlformats.org/officeDocument/2006/relationships/hyperlink" Target="https://unglobalcompact.org/what-is-gc/our-work/livingwages"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gjeringen.no/no/dokumenter/meld.-st.-9-20242025/id3082364/?q=offentlige%20anskaffelser&amp;ch=2" TargetMode="External"/><Relationship Id="rId2" Type="http://schemas.openxmlformats.org/officeDocument/2006/relationships/hyperlink" Target="https://www.regjeringen.no/no/dokumenter/nou-2024-9/id3039569/?ch=3" TargetMode="External"/><Relationship Id="rId1" Type="http://schemas.openxmlformats.org/officeDocument/2006/relationships/hyperlink" Target="https://www.oecd.org/en/publications/promoting-resilience-and-preparedness-in-supply-chains_be692d01-en.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b74a00-43a6-4076-ac55-a30bded87187" xsi:nil="true"/>
    <lcf76f155ced4ddcb4097134ff3c332f xmlns="adbb2028-43e6-4cc2-a67b-7a6125cf5e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8" ma:contentTypeDescription="Opprett et nytt dokument." ma:contentTypeScope="" ma:versionID="ebb9c876fdc4985d32ddf350b76786d7">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9eab4a581ad12ac6b4b6a07c048c6755"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bd2f6f5-447a-481d-83a3-ed07b4030ec5}"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2A4F1-D36B-49E7-9D4C-35169ECCB078}">
  <ds:schemaRefs>
    <ds:schemaRef ds:uri="http://schemas.microsoft.com/office/2006/metadata/properties"/>
    <ds:schemaRef ds:uri="http://schemas.microsoft.com/office/infopath/2007/PartnerControls"/>
    <ds:schemaRef ds:uri="82b74a00-43a6-4076-ac55-a30bded87187"/>
    <ds:schemaRef ds:uri="adbb2028-43e6-4cc2-a67b-7a6125cf5ee2"/>
  </ds:schemaRefs>
</ds:datastoreItem>
</file>

<file path=customXml/itemProps2.xml><?xml version="1.0" encoding="utf-8"?>
<ds:datastoreItem xmlns:ds="http://schemas.openxmlformats.org/officeDocument/2006/customXml" ds:itemID="{CDD0713D-306C-418C-982A-37EDD2BA1EA8}">
  <ds:schemaRefs>
    <ds:schemaRef ds:uri="http://schemas.microsoft.com/sharepoint/v3/contenttype/forms"/>
  </ds:schemaRefs>
</ds:datastoreItem>
</file>

<file path=customXml/itemProps3.xml><?xml version="1.0" encoding="utf-8"?>
<ds:datastoreItem xmlns:ds="http://schemas.openxmlformats.org/officeDocument/2006/customXml" ds:itemID="{A10CA37F-85B9-489F-B88D-B361905DC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F6CF5-71AE-4190-81F0-C83EA8E68E4B}">
  <ds:schemaRefs>
    <ds:schemaRef ds:uri="http://schemas.openxmlformats.org/officeDocument/2006/bibliography"/>
  </ds:schemaRefs>
</ds:datastoreItem>
</file>

<file path=docMetadata/LabelInfo.xml><?xml version="1.0" encoding="utf-8"?>
<clbl:labelList xmlns:clbl="http://schemas.microsoft.com/office/2020/mipLabelMetadata">
  <clbl:label id="{1a91f966-247e-497b-bee6-09072f7ea02a}" enabled="0" method="" siteId="{1a91f966-247e-497b-bee6-09072f7ea02a}" removed="1"/>
</clbl:labelList>
</file>

<file path=docProps/app.xml><?xml version="1.0" encoding="utf-8"?>
<Properties xmlns="http://schemas.openxmlformats.org/officeDocument/2006/extended-properties" xmlns:vt="http://schemas.openxmlformats.org/officeDocument/2006/docPropsVTypes">
  <Template>Normal</Template>
  <TotalTime>223</TotalTime>
  <Pages>15</Pages>
  <Words>6510</Words>
  <Characters>34509</Characters>
  <Application>Microsoft Office Word</Application>
  <DocSecurity>0</DocSecurity>
  <Lines>287</Lines>
  <Paragraphs>81</Paragraphs>
  <ScaleCrop>false</ScaleCrop>
  <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Ählström</dc:creator>
  <cp:keywords/>
  <dc:description/>
  <cp:lastModifiedBy>Jenny Ählström</cp:lastModifiedBy>
  <cp:revision>168</cp:revision>
  <cp:lastPrinted>2025-04-28T17:12:00Z</cp:lastPrinted>
  <dcterms:created xsi:type="dcterms:W3CDTF">2025-04-24T06:29:00Z</dcterms:created>
  <dcterms:modified xsi:type="dcterms:W3CDTF">2025-04-29T05:51:00Z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ediaServiceImageTags">
    <vt:lpwstr/>
  </property>
</Properties>
</file>