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8C867" w14:textId="77777777" w:rsidR="00E063A2" w:rsidRPr="00C86056" w:rsidRDefault="00E063A2" w:rsidP="00E063A2">
      <w:pPr>
        <w:pBdr>
          <w:bottom w:val="single" w:sz="8" w:space="4" w:color="4F81BD"/>
        </w:pBdr>
        <w:spacing w:after="300" w:line="240" w:lineRule="auto"/>
        <w:contextualSpacing/>
        <w:rPr>
          <w:rFonts w:ascii="Arial" w:eastAsia="Times New Roman" w:hAnsi="Arial" w:cs="Arial"/>
          <w:color w:val="17365D"/>
          <w:spacing w:val="5"/>
          <w:kern w:val="28"/>
          <w:sz w:val="52"/>
          <w:szCs w:val="52"/>
          <w:lang w:val="en-GB"/>
        </w:rPr>
      </w:pPr>
      <w:r w:rsidRPr="00E063A2">
        <w:rPr>
          <w:color w:val="17365D"/>
          <w:spacing w:val="5"/>
          <w:kern w:val="28"/>
          <w:sz w:val="52"/>
          <w:lang w:val="en-GB" w:bidi="en-GB"/>
        </w:rPr>
        <w:t>Requirements relating to pay and working conditions</w:t>
      </w:r>
    </w:p>
    <w:p w14:paraId="01DD021F" w14:textId="77777777" w:rsidR="00E063A2" w:rsidRPr="00C86056" w:rsidRDefault="00E063A2" w:rsidP="00E063A2">
      <w:pPr>
        <w:spacing w:after="200" w:line="276" w:lineRule="auto"/>
        <w:ind w:left="720"/>
        <w:contextualSpacing/>
        <w:rPr>
          <w:rFonts w:ascii="Arial" w:eastAsia="Calibri" w:hAnsi="Arial" w:cs="Arial"/>
          <w:b/>
          <w:lang w:val="en-GB"/>
        </w:rPr>
      </w:pPr>
    </w:p>
    <w:p w14:paraId="16A7058E" w14:textId="39E37568" w:rsidR="0073175C" w:rsidRPr="00C86056" w:rsidRDefault="0073175C" w:rsidP="0073175C">
      <w:pPr>
        <w:ind w:left="708"/>
        <w:jc w:val="both"/>
        <w:rPr>
          <w:rFonts w:asciiTheme="majorHAnsi" w:eastAsiaTheme="majorEastAsia" w:hAnsiTheme="majorHAnsi" w:cstheme="majorBidi"/>
          <w:b/>
          <w:color w:val="44546A" w:themeColor="text2"/>
          <w:szCs w:val="21"/>
          <w:lang w:val="en-GB"/>
        </w:rPr>
      </w:pPr>
      <w:r w:rsidRPr="0073175C">
        <w:rPr>
          <w:lang w:val="en-GB" w:bidi="en-GB"/>
        </w:rPr>
        <w:t>The supplier is responsible for ensuring that its own employees and employees of subcontractors (including hired staff)</w:t>
      </w:r>
      <w:r w:rsidR="006D7379">
        <w:rPr>
          <w:lang w:val="en-GB" w:bidi="en-GB"/>
        </w:rPr>
        <w:t xml:space="preserve"> </w:t>
      </w:r>
      <w:r w:rsidR="00C86056">
        <w:rPr>
          <w:lang w:val="en-GB" w:bidi="en-GB"/>
        </w:rPr>
        <w:t>that directly contribute to the fulfilment of this contract</w:t>
      </w:r>
      <w:r w:rsidRPr="0073175C">
        <w:rPr>
          <w:lang w:val="en-GB" w:bidi="en-GB"/>
        </w:rPr>
        <w:t xml:space="preserve"> have pay and working conditions in accordance with:</w:t>
      </w:r>
    </w:p>
    <w:p w14:paraId="208CC519" w14:textId="77777777" w:rsidR="0073175C" w:rsidRPr="00C86056" w:rsidRDefault="0073175C" w:rsidP="0073175C">
      <w:pPr>
        <w:pStyle w:val="ListParagraph"/>
        <w:numPr>
          <w:ilvl w:val="0"/>
          <w:numId w:val="5"/>
        </w:numPr>
        <w:spacing w:before="120"/>
        <w:ind w:left="1066" w:hanging="357"/>
        <w:jc w:val="both"/>
        <w:rPr>
          <w:lang w:val="en-GB"/>
        </w:rPr>
      </w:pPr>
      <w:r w:rsidRPr="008D2A55">
        <w:rPr>
          <w:lang w:val="en-GB" w:bidi="en-GB"/>
        </w:rPr>
        <w:t>Regulations on general collective agreements.</w:t>
      </w:r>
    </w:p>
    <w:p w14:paraId="53721684" w14:textId="1C2DA1CC" w:rsidR="0073175C" w:rsidRPr="00C86056" w:rsidRDefault="0073175C" w:rsidP="0073175C">
      <w:pPr>
        <w:pStyle w:val="ListParagraph"/>
        <w:numPr>
          <w:ilvl w:val="0"/>
          <w:numId w:val="5"/>
        </w:numPr>
        <w:jc w:val="both"/>
        <w:rPr>
          <w:lang w:val="en-GB"/>
        </w:rPr>
      </w:pPr>
      <w:r w:rsidRPr="008D2A55">
        <w:rPr>
          <w:lang w:val="en-GB" w:bidi="en-GB"/>
        </w:rPr>
        <w:t xml:space="preserve">Regulations on pay and working conditions in public contracts dated 8 February 2008, where applicable. Pay and working conditions must be in accordance with nationwide collective agreements for the industry in question in areas that are not covered by the Regulations on general collective agreements. Pay and working conditions refers to provisions relating to minimum working hours, pay including overtime supplements, shift and rota supplements and unsociable hours supplements, and reimbursement of travel, board and lodging charges to the extent </w:t>
      </w:r>
      <w:r w:rsidR="005E621F">
        <w:rPr>
          <w:lang w:val="en-GB" w:bidi="en-GB"/>
        </w:rPr>
        <w:t>prescribed</w:t>
      </w:r>
      <w:r w:rsidR="005E621F" w:rsidRPr="008D2A55">
        <w:rPr>
          <w:lang w:val="en-GB" w:bidi="en-GB"/>
        </w:rPr>
        <w:t xml:space="preserve"> </w:t>
      </w:r>
      <w:r w:rsidRPr="008D2A55">
        <w:rPr>
          <w:lang w:val="en-GB" w:bidi="en-GB"/>
        </w:rPr>
        <w:t xml:space="preserve">by the provisions in the collective agreement. </w:t>
      </w:r>
    </w:p>
    <w:p w14:paraId="5AD695E6" w14:textId="77777777" w:rsidR="0073175C" w:rsidRPr="00C86056" w:rsidRDefault="0073175C" w:rsidP="00E063A2">
      <w:pPr>
        <w:spacing w:after="200" w:line="276" w:lineRule="auto"/>
        <w:ind w:left="720"/>
        <w:contextualSpacing/>
        <w:rPr>
          <w:rFonts w:ascii="Arial" w:eastAsia="Calibri" w:hAnsi="Arial" w:cs="Arial"/>
          <w:lang w:val="en-GB"/>
        </w:rPr>
      </w:pPr>
    </w:p>
    <w:p w14:paraId="7541917C" w14:textId="6E98CD74" w:rsidR="00A331B9" w:rsidRPr="00C86056" w:rsidRDefault="00A331B9" w:rsidP="00A331B9">
      <w:pPr>
        <w:ind w:left="708"/>
        <w:rPr>
          <w:rFonts w:eastAsia="Calibri" w:cstheme="minorHAnsi"/>
          <w:lang w:val="en-GB"/>
        </w:rPr>
      </w:pPr>
      <w:r w:rsidRPr="00A331B9">
        <w:rPr>
          <w:lang w:val="en-GB" w:bidi="en-GB"/>
        </w:rPr>
        <w:t xml:space="preserve">The supplier </w:t>
      </w:r>
      <w:r w:rsidR="00531AB1">
        <w:rPr>
          <w:lang w:val="en-GB" w:bidi="en-GB"/>
        </w:rPr>
        <w:t>must</w:t>
      </w:r>
      <w:r w:rsidRPr="00A331B9">
        <w:rPr>
          <w:lang w:val="en-GB" w:bidi="en-GB"/>
        </w:rPr>
        <w:t>, upon request, document the pay and working conditions for its own employees and the employees of any subcontractors (including hired staff)</w:t>
      </w:r>
      <w:r w:rsidR="00C86056">
        <w:rPr>
          <w:lang w:val="en-GB" w:bidi="en-GB"/>
        </w:rPr>
        <w:t xml:space="preserve"> that directly contribute to the fulfilment of this contract</w:t>
      </w:r>
      <w:r w:rsidRPr="00A331B9">
        <w:rPr>
          <w:lang w:val="en-GB" w:bidi="en-GB"/>
        </w:rPr>
        <w:t>.</w:t>
      </w:r>
      <w:r w:rsidR="007F2256">
        <w:rPr>
          <w:lang w:val="en-GB" w:bidi="en-GB"/>
        </w:rPr>
        <w:t xml:space="preserve"> T</w:t>
      </w:r>
      <w:r w:rsidR="009F6BD4">
        <w:rPr>
          <w:lang w:val="en-GB" w:bidi="en-GB"/>
        </w:rPr>
        <w:t xml:space="preserve">his </w:t>
      </w:r>
      <w:r w:rsidR="007F2256">
        <w:rPr>
          <w:lang w:val="en-GB" w:bidi="en-GB"/>
        </w:rPr>
        <w:t>d</w:t>
      </w:r>
      <w:r w:rsidR="00F821B3">
        <w:rPr>
          <w:lang w:val="en-GB" w:bidi="en-GB"/>
        </w:rPr>
        <w:t>ocumentation includes, but is not limited to</w:t>
      </w:r>
      <w:r w:rsidR="00DF2AB7">
        <w:rPr>
          <w:lang w:val="en-GB" w:bidi="en-GB"/>
        </w:rPr>
        <w:t>,</w:t>
      </w:r>
      <w:r w:rsidRPr="00A331B9">
        <w:rPr>
          <w:lang w:val="en-GB" w:bidi="en-GB"/>
        </w:rPr>
        <w:t xml:space="preserve"> copies of employment contracts, payslips, timesheets and the employer’s bank statements</w:t>
      </w:r>
      <w:r w:rsidR="004B7594">
        <w:rPr>
          <w:lang w:val="en-GB" w:bidi="en-GB"/>
        </w:rPr>
        <w:t>.</w:t>
      </w:r>
      <w:r w:rsidRPr="00A331B9">
        <w:rPr>
          <w:lang w:val="en-GB" w:bidi="en-GB"/>
        </w:rPr>
        <w:t xml:space="preserve"> This documentation must be at personal level, and the person to whom it relates must be apparent. </w:t>
      </w:r>
    </w:p>
    <w:p w14:paraId="6F7748B1" w14:textId="7E51FBB1" w:rsidR="00A331B9" w:rsidRPr="00C86056" w:rsidRDefault="00A331B9" w:rsidP="00A331B9">
      <w:pPr>
        <w:ind w:left="708"/>
        <w:rPr>
          <w:lang w:val="en-GB"/>
        </w:rPr>
      </w:pPr>
      <w:r w:rsidRPr="0D424094">
        <w:rPr>
          <w:lang w:val="en-GB" w:bidi="en-GB"/>
        </w:rPr>
        <w:t xml:space="preserve">The documentation may include a complete list of names of the company’s own employees and any subcontractors’ employees who are directly </w:t>
      </w:r>
      <w:r w:rsidR="002C5C2F" w:rsidRPr="0D424094">
        <w:rPr>
          <w:lang w:val="en-GB" w:bidi="en-GB"/>
        </w:rPr>
        <w:t>contributing to</w:t>
      </w:r>
      <w:r w:rsidRPr="0D424094">
        <w:rPr>
          <w:lang w:val="en-GB" w:bidi="en-GB"/>
        </w:rPr>
        <w:t xml:space="preserve"> fulfilment of th</w:t>
      </w:r>
      <w:r w:rsidR="00282D2D" w:rsidRPr="0D424094">
        <w:rPr>
          <w:lang w:val="en-GB" w:bidi="en-GB"/>
        </w:rPr>
        <w:t>is</w:t>
      </w:r>
      <w:r w:rsidRPr="0D424094">
        <w:rPr>
          <w:lang w:val="en-GB" w:bidi="en-GB"/>
        </w:rPr>
        <w:t xml:space="preserve"> contract, an overview of general and/or national collective agreements that </w:t>
      </w:r>
      <w:r w:rsidR="1BD5B790" w:rsidRPr="0D424094">
        <w:rPr>
          <w:lang w:val="en-GB" w:bidi="en-GB"/>
        </w:rPr>
        <w:t xml:space="preserve">apply </w:t>
      </w:r>
      <w:r w:rsidR="005D5E04" w:rsidRPr="0D424094">
        <w:rPr>
          <w:lang w:val="en-GB" w:bidi="en-GB"/>
        </w:rPr>
        <w:t>in</w:t>
      </w:r>
      <w:r w:rsidR="1BD5B790" w:rsidRPr="0D424094">
        <w:rPr>
          <w:lang w:val="en-GB" w:bidi="en-GB"/>
        </w:rPr>
        <w:t xml:space="preserve"> the relevant industry</w:t>
      </w:r>
      <w:r w:rsidRPr="0D424094">
        <w:rPr>
          <w:lang w:val="en-GB" w:bidi="en-GB"/>
        </w:rPr>
        <w:t>, and access to the supplier’s pay and working conditions agreed with any subcontractors.</w:t>
      </w:r>
    </w:p>
    <w:p w14:paraId="4E2C97E0" w14:textId="6661C399" w:rsidR="0037728E" w:rsidRPr="00C86056" w:rsidRDefault="00687C22" w:rsidP="0037728E">
      <w:pPr>
        <w:spacing w:after="200" w:line="276" w:lineRule="auto"/>
        <w:ind w:left="708"/>
        <w:contextualSpacing/>
        <w:rPr>
          <w:rFonts w:ascii="Calibri" w:eastAsia="Calibri" w:hAnsi="Calibri" w:cs="Calibri"/>
          <w:lang w:val="en-GB"/>
        </w:rPr>
      </w:pPr>
      <w:r>
        <w:rPr>
          <w:lang w:val="en-GB" w:bidi="en-GB"/>
        </w:rPr>
        <w:t xml:space="preserve">The supplier </w:t>
      </w:r>
      <w:r w:rsidR="002C5C2F">
        <w:rPr>
          <w:lang w:val="en-GB" w:bidi="en-GB"/>
        </w:rPr>
        <w:t>must</w:t>
      </w:r>
      <w:r>
        <w:rPr>
          <w:lang w:val="en-GB" w:bidi="en-GB"/>
        </w:rPr>
        <w:t xml:space="preserve"> complete a self-reporting form upon request. This self-report must be submitted to the client within one month after the start of the contract, unless agreed otherwise. Self-reporting may be required several times during the contract period.</w:t>
      </w:r>
    </w:p>
    <w:p w14:paraId="1FCB43AB" w14:textId="77777777" w:rsidR="0037728E" w:rsidRPr="00C86056" w:rsidRDefault="0037728E" w:rsidP="0037728E">
      <w:pPr>
        <w:spacing w:after="200" w:line="276" w:lineRule="auto"/>
        <w:ind w:left="708"/>
        <w:contextualSpacing/>
        <w:rPr>
          <w:rFonts w:ascii="Calibri" w:eastAsia="Calibri" w:hAnsi="Calibri" w:cs="Calibri"/>
          <w:lang w:val="en-GB"/>
        </w:rPr>
      </w:pPr>
    </w:p>
    <w:p w14:paraId="53EFC20C" w14:textId="2A31AAF1" w:rsidR="00E063A2" w:rsidRPr="00C86056" w:rsidRDefault="00E063A2" w:rsidP="0037728E">
      <w:pPr>
        <w:spacing w:after="200" w:line="276" w:lineRule="auto"/>
        <w:ind w:left="708"/>
        <w:contextualSpacing/>
        <w:rPr>
          <w:rFonts w:eastAsia="Calibri" w:cstheme="minorHAnsi"/>
          <w:lang w:val="en-GB"/>
        </w:rPr>
      </w:pPr>
      <w:r w:rsidRPr="00E063A2">
        <w:rPr>
          <w:lang w:val="en-GB" w:bidi="en-GB"/>
        </w:rPr>
        <w:t xml:space="preserve">The client and any external inspector receiving the information </w:t>
      </w:r>
      <w:r w:rsidR="00D54DFE">
        <w:rPr>
          <w:lang w:val="en-GB" w:bidi="en-GB"/>
        </w:rPr>
        <w:t>is</w:t>
      </w:r>
      <w:r w:rsidR="00D54DFE" w:rsidRPr="00E063A2">
        <w:rPr>
          <w:lang w:val="en-GB" w:bidi="en-GB"/>
        </w:rPr>
        <w:t xml:space="preserve"> </w:t>
      </w:r>
      <w:r w:rsidRPr="00E063A2">
        <w:rPr>
          <w:lang w:val="en-GB" w:bidi="en-GB"/>
        </w:rPr>
        <w:t xml:space="preserve">subject to a duty of confidentiality </w:t>
      </w:r>
      <w:r w:rsidR="002C5C2F">
        <w:rPr>
          <w:lang w:val="en-GB" w:bidi="en-GB"/>
        </w:rPr>
        <w:t>regarding</w:t>
      </w:r>
      <w:r w:rsidRPr="00E063A2">
        <w:rPr>
          <w:lang w:val="en-GB" w:bidi="en-GB"/>
        </w:rPr>
        <w:t xml:space="preserve"> the information. The duty of confidentiality does not apply in relation to the Norwegian Labour Inspection Authority or the Petroleum Safety Authority Norway, nor to employees or internal or external consultants necessary to receive linguistic, economic, legal or other specialist support. The duty of confidentiality also applies </w:t>
      </w:r>
      <w:r w:rsidR="00230589">
        <w:rPr>
          <w:lang w:val="en-GB" w:bidi="en-GB"/>
        </w:rPr>
        <w:t>to</w:t>
      </w:r>
      <w:r w:rsidRPr="00E063A2">
        <w:rPr>
          <w:lang w:val="en-GB" w:bidi="en-GB"/>
        </w:rPr>
        <w:t xml:space="preserve"> these consultants.</w:t>
      </w:r>
    </w:p>
    <w:p w14:paraId="2FF438C7" w14:textId="77777777" w:rsidR="0037728E" w:rsidRPr="00C86056" w:rsidRDefault="0037728E" w:rsidP="0037728E">
      <w:pPr>
        <w:spacing w:after="0" w:line="240" w:lineRule="auto"/>
        <w:ind w:firstLine="708"/>
        <w:contextualSpacing/>
        <w:jc w:val="both"/>
        <w:rPr>
          <w:rFonts w:ascii="Arial" w:eastAsia="Calibri" w:hAnsi="Arial" w:cs="Arial"/>
          <w:lang w:val="en-GB"/>
        </w:rPr>
      </w:pPr>
    </w:p>
    <w:p w14:paraId="4732EBC8" w14:textId="65BBC916" w:rsidR="0037728E" w:rsidRPr="00C86056" w:rsidRDefault="00E063A2" w:rsidP="0037728E">
      <w:pPr>
        <w:spacing w:after="0" w:line="240" w:lineRule="auto"/>
        <w:ind w:left="708"/>
        <w:contextualSpacing/>
        <w:jc w:val="both"/>
        <w:rPr>
          <w:rFonts w:eastAsia="Calibri" w:cstheme="minorHAnsi"/>
          <w:color w:val="000000"/>
          <w:lang w:val="en-GB"/>
        </w:rPr>
      </w:pPr>
      <w:r w:rsidRPr="00E063A2">
        <w:rPr>
          <w:lang w:val="en-GB" w:bidi="en-GB"/>
        </w:rPr>
        <w:t xml:space="preserve">If the supplier or subcontractor receives an injunction from the Norwegian Labour Inspection Authority </w:t>
      </w:r>
      <w:r w:rsidR="00771CA2">
        <w:rPr>
          <w:lang w:val="en-GB" w:bidi="en-GB"/>
        </w:rPr>
        <w:t xml:space="preserve">regarding pay </w:t>
      </w:r>
      <w:r w:rsidRPr="00E063A2">
        <w:rPr>
          <w:lang w:val="en-GB" w:bidi="en-GB"/>
        </w:rPr>
        <w:t>and/or working conditions, the supplier</w:t>
      </w:r>
      <w:r w:rsidR="00DF4647">
        <w:rPr>
          <w:lang w:val="en-GB" w:bidi="en-GB"/>
        </w:rPr>
        <w:t xml:space="preserve"> </w:t>
      </w:r>
      <w:r w:rsidR="002C5C2F">
        <w:rPr>
          <w:lang w:val="en-GB" w:bidi="en-GB"/>
        </w:rPr>
        <w:t>must</w:t>
      </w:r>
      <w:r w:rsidR="002C5C2F" w:rsidRPr="00E063A2">
        <w:rPr>
          <w:lang w:val="en-GB" w:bidi="en-GB"/>
        </w:rPr>
        <w:t xml:space="preserve"> </w:t>
      </w:r>
      <w:r w:rsidRPr="00E063A2">
        <w:rPr>
          <w:lang w:val="en-GB" w:bidi="en-GB"/>
        </w:rPr>
        <w:t xml:space="preserve">inform the client without delay, including a copy of the injunction. If the supplier or subcontractor fails to improve conditions as ordered by the Norwegian Labour Inspection Authority’s deadlines, this </w:t>
      </w:r>
      <w:r w:rsidR="00510BD8">
        <w:rPr>
          <w:lang w:val="en-GB" w:bidi="en-GB"/>
        </w:rPr>
        <w:t>is</w:t>
      </w:r>
      <w:r w:rsidRPr="00E063A2">
        <w:rPr>
          <w:lang w:val="en-GB" w:bidi="en-GB"/>
        </w:rPr>
        <w:t xml:space="preserve"> considered a breach of contract. </w:t>
      </w:r>
    </w:p>
    <w:p w14:paraId="078C280F" w14:textId="77777777" w:rsidR="0037728E" w:rsidRPr="00C86056" w:rsidRDefault="0037728E" w:rsidP="0037728E">
      <w:pPr>
        <w:spacing w:after="0" w:line="240" w:lineRule="auto"/>
        <w:ind w:left="708"/>
        <w:contextualSpacing/>
        <w:jc w:val="both"/>
        <w:rPr>
          <w:rFonts w:ascii="Arial" w:eastAsia="Calibri" w:hAnsi="Arial" w:cs="Arial"/>
          <w:color w:val="000000"/>
          <w:lang w:val="en-GB"/>
        </w:rPr>
      </w:pPr>
    </w:p>
    <w:p w14:paraId="26E9771B" w14:textId="6D7771CB" w:rsidR="0037728E" w:rsidRPr="00C86056" w:rsidRDefault="0037728E" w:rsidP="783E2081">
      <w:pPr>
        <w:spacing w:after="0" w:line="240" w:lineRule="auto"/>
        <w:ind w:left="708"/>
        <w:contextualSpacing/>
        <w:jc w:val="both"/>
        <w:rPr>
          <w:lang w:val="en-GB"/>
        </w:rPr>
      </w:pPr>
      <w:r w:rsidRPr="783E2081">
        <w:rPr>
          <w:lang w:val="en-GB" w:bidi="en-GB"/>
        </w:rPr>
        <w:t xml:space="preserve">If the requirements relating to pay and working conditions are breached, the supplier must remedy the situation before the deadline specified by the client. If the supplier discovers such a breach itself, through internal inspections or own follow-up of the subcontractor, the supplier must inform the client of these conditions without delay and improve the conditions within the deadline set by the client. </w:t>
      </w:r>
    </w:p>
    <w:p w14:paraId="658B0E5D" w14:textId="77777777" w:rsidR="0037728E" w:rsidRPr="00C86056" w:rsidRDefault="0037728E" w:rsidP="0037728E">
      <w:pPr>
        <w:spacing w:after="0" w:line="240" w:lineRule="auto"/>
        <w:ind w:left="708"/>
        <w:contextualSpacing/>
        <w:jc w:val="both"/>
        <w:rPr>
          <w:rFonts w:cstheme="minorHAnsi"/>
          <w:lang w:val="en-GB"/>
        </w:rPr>
      </w:pPr>
    </w:p>
    <w:p w14:paraId="34123B70" w14:textId="4E7799EB" w:rsidR="00687C22" w:rsidRPr="00C86056" w:rsidRDefault="0037728E" w:rsidP="003B5157">
      <w:pPr>
        <w:pStyle w:val="NoSpacing"/>
        <w:ind w:left="708"/>
        <w:rPr>
          <w:lang w:val="en-GB"/>
        </w:rPr>
      </w:pPr>
      <w:r w:rsidRPr="783E2081">
        <w:rPr>
          <w:lang w:val="en-GB" w:bidi="en-GB"/>
        </w:rPr>
        <w:t>The client is entitled to withhold an amount equivalent to approximately twice the amount</w:t>
      </w:r>
      <w:r w:rsidR="000D2C98">
        <w:rPr>
          <w:lang w:val="en-GB" w:bidi="en-GB"/>
        </w:rPr>
        <w:t xml:space="preserve"> </w:t>
      </w:r>
      <w:r w:rsidRPr="783E2081">
        <w:rPr>
          <w:lang w:val="en-GB" w:bidi="en-GB"/>
        </w:rPr>
        <w:t>saved by the supplier. This right to withhold funds will cease as soon as correction of the situation according to the previous paragraph has been documented</w:t>
      </w:r>
      <w:r w:rsidR="002C5C2F" w:rsidRPr="783E2081">
        <w:rPr>
          <w:lang w:val="en-GB" w:bidi="en-GB"/>
        </w:rPr>
        <w:t xml:space="preserve"> </w:t>
      </w:r>
      <w:r w:rsidR="00CB0AAD" w:rsidRPr="783E2081">
        <w:rPr>
          <w:lang w:val="en-GB" w:bidi="en-GB"/>
        </w:rPr>
        <w:t>to</w:t>
      </w:r>
      <w:bookmarkStart w:id="0" w:name="_GoBack"/>
      <w:bookmarkEnd w:id="0"/>
      <w:r w:rsidR="002C5C2F" w:rsidRPr="783E2081">
        <w:rPr>
          <w:lang w:val="en-GB" w:bidi="en-GB"/>
        </w:rPr>
        <w:t xml:space="preserve"> the client</w:t>
      </w:r>
      <w:r w:rsidRPr="783E2081">
        <w:rPr>
          <w:lang w:val="en-GB" w:bidi="en-GB"/>
        </w:rPr>
        <w:t xml:space="preserve">. </w:t>
      </w:r>
    </w:p>
    <w:p w14:paraId="37601EC2" w14:textId="77777777" w:rsidR="00687C22" w:rsidRPr="00C86056" w:rsidRDefault="00687C22" w:rsidP="003B5157">
      <w:pPr>
        <w:pStyle w:val="NoSpacing"/>
        <w:ind w:left="708"/>
        <w:rPr>
          <w:lang w:val="en-GB"/>
        </w:rPr>
      </w:pPr>
    </w:p>
    <w:p w14:paraId="22B2F189" w14:textId="6218BE7A" w:rsidR="0037728E" w:rsidRPr="00C86056" w:rsidRDefault="0037728E" w:rsidP="003B5157">
      <w:pPr>
        <w:pStyle w:val="NoSpacing"/>
        <w:ind w:left="708"/>
        <w:rPr>
          <w:lang w:val="en-GB"/>
        </w:rPr>
      </w:pPr>
      <w:r w:rsidRPr="00FA02A2">
        <w:rPr>
          <w:lang w:val="en-GB" w:bidi="en-GB"/>
        </w:rPr>
        <w:t xml:space="preserve">Material breaches of pay and working conditions on the part of the supplier may be invoked by the client as grounds for cancellation, even if the supplier remedies the situation. If the breach has occurred in respect of a subcontractor (including recruitment companies), the client may demand that the supplier replaces subcontractors. This must take place at no expense to the client. </w:t>
      </w:r>
    </w:p>
    <w:p w14:paraId="45E8CFE3" w14:textId="77777777" w:rsidR="003B5157" w:rsidRPr="00C86056" w:rsidRDefault="003B5157" w:rsidP="003B5157">
      <w:pPr>
        <w:pStyle w:val="NoSpacing"/>
        <w:ind w:left="708"/>
        <w:rPr>
          <w:lang w:val="en-GB"/>
        </w:rPr>
      </w:pPr>
    </w:p>
    <w:p w14:paraId="0F7C1D5F" w14:textId="77777777" w:rsidR="0037728E" w:rsidRPr="00C86056" w:rsidRDefault="0037728E" w:rsidP="0037728E">
      <w:pPr>
        <w:ind w:left="708"/>
        <w:jc w:val="both"/>
        <w:rPr>
          <w:rFonts w:cstheme="minorHAnsi"/>
          <w:lang w:val="en-GB"/>
        </w:rPr>
      </w:pPr>
      <w:r w:rsidRPr="00FA02A2">
        <w:rPr>
          <w:lang w:val="en-GB" w:bidi="en-GB"/>
        </w:rPr>
        <w:t>All agreements concluded by the supplier for work to be carried out pursuant to this contract must include corresponding provisions.</w:t>
      </w:r>
    </w:p>
    <w:p w14:paraId="277F7A30" w14:textId="77777777" w:rsidR="0037728E" w:rsidRPr="00C86056" w:rsidRDefault="0037728E" w:rsidP="0037728E">
      <w:pPr>
        <w:spacing w:after="0" w:line="240" w:lineRule="auto"/>
        <w:ind w:left="708"/>
        <w:contextualSpacing/>
        <w:jc w:val="both"/>
        <w:rPr>
          <w:rFonts w:cstheme="minorHAnsi"/>
          <w:lang w:val="en-GB"/>
        </w:rPr>
      </w:pPr>
    </w:p>
    <w:p w14:paraId="607F5183" w14:textId="77777777" w:rsidR="0037728E" w:rsidRPr="00C86056" w:rsidRDefault="0037728E" w:rsidP="0037728E">
      <w:pPr>
        <w:spacing w:after="0" w:line="240" w:lineRule="auto"/>
        <w:ind w:left="708"/>
        <w:contextualSpacing/>
        <w:jc w:val="both"/>
        <w:rPr>
          <w:lang w:val="en-GB"/>
        </w:rPr>
      </w:pPr>
    </w:p>
    <w:p w14:paraId="0F66F2C6" w14:textId="77777777" w:rsidR="0037728E" w:rsidRPr="00C86056" w:rsidRDefault="0037728E" w:rsidP="0037728E">
      <w:pPr>
        <w:spacing w:after="0" w:line="240" w:lineRule="auto"/>
        <w:ind w:left="708"/>
        <w:contextualSpacing/>
        <w:jc w:val="both"/>
        <w:rPr>
          <w:lang w:val="en-GB"/>
        </w:rPr>
      </w:pPr>
    </w:p>
    <w:p w14:paraId="7B7C43C8" w14:textId="77777777" w:rsidR="00E063A2" w:rsidRPr="00C86056" w:rsidRDefault="00E063A2" w:rsidP="00E063A2">
      <w:pPr>
        <w:spacing w:after="200" w:line="276" w:lineRule="auto"/>
        <w:rPr>
          <w:rFonts w:ascii="Arial" w:eastAsia="Times New Roman" w:hAnsi="Arial" w:cs="Arial"/>
          <w:b/>
          <w:bCs/>
          <w:color w:val="4F81BD"/>
          <w:lang w:val="en-GB"/>
        </w:rPr>
      </w:pPr>
    </w:p>
    <w:p w14:paraId="69415626" w14:textId="77777777" w:rsidR="0018127B" w:rsidRPr="00C86056" w:rsidRDefault="0018127B">
      <w:pPr>
        <w:rPr>
          <w:lang w:val="en-GB"/>
        </w:rPr>
      </w:pPr>
    </w:p>
    <w:sectPr w:rsidR="0018127B" w:rsidRPr="00C8605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AC06A" w14:textId="77777777" w:rsidR="005C78B6" w:rsidRDefault="005C78B6" w:rsidP="00E063A2">
      <w:pPr>
        <w:spacing w:after="0" w:line="240" w:lineRule="auto"/>
      </w:pPr>
      <w:r>
        <w:separator/>
      </w:r>
    </w:p>
  </w:endnote>
  <w:endnote w:type="continuationSeparator" w:id="0">
    <w:p w14:paraId="0B94CA40" w14:textId="77777777" w:rsidR="005C78B6" w:rsidRDefault="005C78B6" w:rsidP="00E063A2">
      <w:pPr>
        <w:spacing w:after="0" w:line="240" w:lineRule="auto"/>
      </w:pPr>
      <w:r>
        <w:continuationSeparator/>
      </w:r>
    </w:p>
  </w:endnote>
  <w:endnote w:type="continuationNotice" w:id="1">
    <w:p w14:paraId="6ADE4E76" w14:textId="77777777" w:rsidR="005C78B6" w:rsidRDefault="005C7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D077" w14:textId="77777777" w:rsidR="005C78B6" w:rsidRDefault="005C78B6" w:rsidP="00E063A2">
      <w:pPr>
        <w:spacing w:after="0" w:line="240" w:lineRule="auto"/>
      </w:pPr>
      <w:r>
        <w:separator/>
      </w:r>
    </w:p>
  </w:footnote>
  <w:footnote w:type="continuationSeparator" w:id="0">
    <w:p w14:paraId="50039E0B" w14:textId="77777777" w:rsidR="005C78B6" w:rsidRDefault="005C78B6" w:rsidP="00E063A2">
      <w:pPr>
        <w:spacing w:after="0" w:line="240" w:lineRule="auto"/>
      </w:pPr>
      <w:r>
        <w:continuationSeparator/>
      </w:r>
    </w:p>
  </w:footnote>
  <w:footnote w:type="continuationNotice" w:id="1">
    <w:p w14:paraId="79DBB0FA" w14:textId="77777777" w:rsidR="005C78B6" w:rsidRDefault="005C7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150E" w14:textId="77777777" w:rsidR="0018127B" w:rsidRPr="000134DB" w:rsidRDefault="00E063A2" w:rsidP="0018127B">
    <w:pPr>
      <w:pStyle w:val="Header"/>
    </w:pPr>
    <w:r w:rsidRPr="00E063A2">
      <w:rPr>
        <w:noProof/>
        <w:lang w:val="en-GB" w:bidi="en-GB"/>
      </w:rPr>
      <w:drawing>
        <wp:inline distT="0" distB="0" distL="0" distR="0" wp14:anchorId="056D5143" wp14:editId="4DD31D1A">
          <wp:extent cx="1906270" cy="664845"/>
          <wp:effectExtent l="0" t="0" r="0" b="0"/>
          <wp:docPr id="2" name="Bilde 2" descr="https://orglogo.difi.no/sites/difilogo/files/styles/200/public/hoved_lang_farger_rgb.png?itok=ZKLgHE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glogo.difi.no/sites/difilogo/files/styles/200/public/hoved_lang_farger_rgb.png?itok=ZKLgHE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664845"/>
                  </a:xfrm>
                  <a:prstGeom prst="rect">
                    <a:avLst/>
                  </a:prstGeom>
                  <a:noFill/>
                  <a:ln>
                    <a:noFill/>
                  </a:ln>
                </pic:spPr>
              </pic:pic>
            </a:graphicData>
          </a:graphic>
        </wp:inline>
      </w:drawing>
    </w:r>
    <w:r w:rsidR="003B5157" w:rsidRPr="00AB769C">
      <w:rPr>
        <w:lang w:val="en-GB" w:bidi="en-GB"/>
      </w:rPr>
      <w:tab/>
    </w:r>
    <w:r w:rsidR="003B5157" w:rsidRPr="00AB769C">
      <w:rPr>
        <w:lang w:val="en-GB" w:bidi="en-GB"/>
      </w:rPr>
      <w:tab/>
    </w:r>
    <w:hyperlink r:id="rId2" w:history="1"/>
  </w:p>
  <w:p w14:paraId="4ED56E3C" w14:textId="77777777" w:rsidR="0018127B" w:rsidRPr="00263AFA" w:rsidRDefault="003B5157" w:rsidP="0018127B">
    <w:pPr>
      <w:pStyle w:val="Header"/>
      <w:rPr>
        <w:rFonts w:ascii="Arial" w:hAnsi="Arial" w:cs="Arial"/>
      </w:rPr>
    </w:pPr>
    <w:r>
      <w:rPr>
        <w:lang w:val="en-GB" w:bidi="en-GB"/>
      </w:rPr>
      <w:tab/>
    </w:r>
    <w:r>
      <w:rPr>
        <w:lang w:val="en-GB" w:bidi="en-GB"/>
      </w:rPr>
      <w:tab/>
    </w:r>
  </w:p>
  <w:p w14:paraId="6CF2DDD1" w14:textId="77777777" w:rsidR="0018127B" w:rsidRDefault="0018127B">
    <w:pPr>
      <w:pStyle w:val="Header"/>
    </w:pPr>
  </w:p>
  <w:p w14:paraId="3C349BF4" w14:textId="77777777" w:rsidR="0018127B" w:rsidRDefault="00181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676D"/>
    <w:multiLevelType w:val="hybridMultilevel"/>
    <w:tmpl w:val="2D765CC0"/>
    <w:lvl w:ilvl="0" w:tplc="979814C2">
      <w:start w:val="1"/>
      <w:numFmt w:val="lowerLetter"/>
      <w:lvlText w:val="%1)"/>
      <w:lvlJc w:val="left"/>
      <w:pPr>
        <w:ind w:left="1080" w:hanging="360"/>
      </w:pPr>
      <w:rPr>
        <w:rFonts w:ascii="Arial" w:eastAsiaTheme="minorHAnsi" w:hAnsi="Arial" w:cs="Arial"/>
      </w:rPr>
    </w:lvl>
    <w:lvl w:ilvl="1" w:tplc="04140001">
      <w:start w:val="1"/>
      <w:numFmt w:val="bullet"/>
      <w:lvlText w:val=""/>
      <w:lvlJc w:val="left"/>
      <w:pPr>
        <w:ind w:left="1800" w:hanging="360"/>
      </w:pPr>
      <w:rPr>
        <w:rFonts w:ascii="Symbol" w:hAnsi="Symbol"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33167EE0"/>
    <w:multiLevelType w:val="hybridMultilevel"/>
    <w:tmpl w:val="C016BB1C"/>
    <w:lvl w:ilvl="0" w:tplc="04140017">
      <w:start w:val="1"/>
      <w:numFmt w:val="lowerLetter"/>
      <w:lvlText w:val="%1)"/>
      <w:lvlJc w:val="left"/>
      <w:pPr>
        <w:ind w:left="1068" w:hanging="360"/>
      </w:pPr>
      <w:rPr>
        <w:rFonts w:hint="default"/>
        <w:b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45230D4B"/>
    <w:multiLevelType w:val="hybridMultilevel"/>
    <w:tmpl w:val="46988694"/>
    <w:lvl w:ilvl="0" w:tplc="CD62A9BE">
      <w:start w:val="1"/>
      <w:numFmt w:val="bullet"/>
      <w:pStyle w:val="ListParagraph"/>
      <w:lvlText w:val=""/>
      <w:lvlJc w:val="left"/>
      <w:pPr>
        <w:ind w:left="1440" w:hanging="360"/>
      </w:pPr>
      <w:rPr>
        <w:rFonts w:ascii="Symbol" w:hAnsi="Symbol" w:hint="default"/>
        <w:color w:val="5B9BD5" w:themeColor="accent1"/>
      </w:rPr>
    </w:lvl>
    <w:lvl w:ilvl="1" w:tplc="580ACC6C" w:tentative="1">
      <w:start w:val="1"/>
      <w:numFmt w:val="bullet"/>
      <w:lvlText w:val="o"/>
      <w:lvlJc w:val="left"/>
      <w:pPr>
        <w:ind w:left="2160" w:hanging="360"/>
      </w:pPr>
      <w:rPr>
        <w:rFonts w:ascii="Courier New" w:hAnsi="Courier New" w:cs="Courier New" w:hint="default"/>
      </w:rPr>
    </w:lvl>
    <w:lvl w:ilvl="2" w:tplc="CBC2790A" w:tentative="1">
      <w:start w:val="1"/>
      <w:numFmt w:val="bullet"/>
      <w:lvlText w:val=""/>
      <w:lvlJc w:val="left"/>
      <w:pPr>
        <w:ind w:left="2880" w:hanging="360"/>
      </w:pPr>
      <w:rPr>
        <w:rFonts w:ascii="Wingdings" w:hAnsi="Wingdings" w:hint="default"/>
      </w:rPr>
    </w:lvl>
    <w:lvl w:ilvl="3" w:tplc="FF6EA7BA" w:tentative="1">
      <w:start w:val="1"/>
      <w:numFmt w:val="bullet"/>
      <w:lvlText w:val=""/>
      <w:lvlJc w:val="left"/>
      <w:pPr>
        <w:ind w:left="3600" w:hanging="360"/>
      </w:pPr>
      <w:rPr>
        <w:rFonts w:ascii="Symbol" w:hAnsi="Symbol" w:hint="default"/>
      </w:rPr>
    </w:lvl>
    <w:lvl w:ilvl="4" w:tplc="02E2D732" w:tentative="1">
      <w:start w:val="1"/>
      <w:numFmt w:val="bullet"/>
      <w:lvlText w:val="o"/>
      <w:lvlJc w:val="left"/>
      <w:pPr>
        <w:ind w:left="4320" w:hanging="360"/>
      </w:pPr>
      <w:rPr>
        <w:rFonts w:ascii="Courier New" w:hAnsi="Courier New" w:cs="Courier New" w:hint="default"/>
      </w:rPr>
    </w:lvl>
    <w:lvl w:ilvl="5" w:tplc="107E068E" w:tentative="1">
      <w:start w:val="1"/>
      <w:numFmt w:val="bullet"/>
      <w:lvlText w:val=""/>
      <w:lvlJc w:val="left"/>
      <w:pPr>
        <w:ind w:left="5040" w:hanging="360"/>
      </w:pPr>
      <w:rPr>
        <w:rFonts w:ascii="Wingdings" w:hAnsi="Wingdings" w:hint="default"/>
      </w:rPr>
    </w:lvl>
    <w:lvl w:ilvl="6" w:tplc="DC368952" w:tentative="1">
      <w:start w:val="1"/>
      <w:numFmt w:val="bullet"/>
      <w:lvlText w:val=""/>
      <w:lvlJc w:val="left"/>
      <w:pPr>
        <w:ind w:left="5760" w:hanging="360"/>
      </w:pPr>
      <w:rPr>
        <w:rFonts w:ascii="Symbol" w:hAnsi="Symbol" w:hint="default"/>
      </w:rPr>
    </w:lvl>
    <w:lvl w:ilvl="7" w:tplc="8182FB78" w:tentative="1">
      <w:start w:val="1"/>
      <w:numFmt w:val="bullet"/>
      <w:lvlText w:val="o"/>
      <w:lvlJc w:val="left"/>
      <w:pPr>
        <w:ind w:left="6480" w:hanging="360"/>
      </w:pPr>
      <w:rPr>
        <w:rFonts w:ascii="Courier New" w:hAnsi="Courier New" w:cs="Courier New" w:hint="default"/>
      </w:rPr>
    </w:lvl>
    <w:lvl w:ilvl="8" w:tplc="E0084CDC" w:tentative="1">
      <w:start w:val="1"/>
      <w:numFmt w:val="bullet"/>
      <w:lvlText w:val=""/>
      <w:lvlJc w:val="left"/>
      <w:pPr>
        <w:ind w:left="7200" w:hanging="360"/>
      </w:pPr>
      <w:rPr>
        <w:rFonts w:ascii="Wingdings" w:hAnsi="Wingdings" w:hint="default"/>
      </w:rPr>
    </w:lvl>
  </w:abstractNum>
  <w:abstractNum w:abstractNumId="3" w15:restartNumberingAfterBreak="0">
    <w:nsid w:val="64B133C0"/>
    <w:multiLevelType w:val="hybridMultilevel"/>
    <w:tmpl w:val="6060A8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63A2"/>
    <w:rsid w:val="00014FCC"/>
    <w:rsid w:val="00046D15"/>
    <w:rsid w:val="00086CE7"/>
    <w:rsid w:val="000D1E03"/>
    <w:rsid w:val="000D2C98"/>
    <w:rsid w:val="000E7440"/>
    <w:rsid w:val="000F2D67"/>
    <w:rsid w:val="0018127B"/>
    <w:rsid w:val="001F5993"/>
    <w:rsid w:val="00203635"/>
    <w:rsid w:val="00206932"/>
    <w:rsid w:val="002115EA"/>
    <w:rsid w:val="00230589"/>
    <w:rsid w:val="00282D2D"/>
    <w:rsid w:val="00294333"/>
    <w:rsid w:val="002C5C2F"/>
    <w:rsid w:val="002D5E71"/>
    <w:rsid w:val="002E17A1"/>
    <w:rsid w:val="002E6BF1"/>
    <w:rsid w:val="003417CD"/>
    <w:rsid w:val="0037547A"/>
    <w:rsid w:val="0037728E"/>
    <w:rsid w:val="003B1F04"/>
    <w:rsid w:val="003B47E9"/>
    <w:rsid w:val="003B5157"/>
    <w:rsid w:val="003F5C79"/>
    <w:rsid w:val="003F7755"/>
    <w:rsid w:val="00403227"/>
    <w:rsid w:val="00434422"/>
    <w:rsid w:val="004416EE"/>
    <w:rsid w:val="00483A92"/>
    <w:rsid w:val="004852FD"/>
    <w:rsid w:val="00496D9F"/>
    <w:rsid w:val="004B7594"/>
    <w:rsid w:val="004C7128"/>
    <w:rsid w:val="00510BD8"/>
    <w:rsid w:val="00531AB1"/>
    <w:rsid w:val="005738CD"/>
    <w:rsid w:val="005C153F"/>
    <w:rsid w:val="005C3EF1"/>
    <w:rsid w:val="005C78B6"/>
    <w:rsid w:val="005D5E04"/>
    <w:rsid w:val="005E621F"/>
    <w:rsid w:val="006113B5"/>
    <w:rsid w:val="00633F61"/>
    <w:rsid w:val="0066774A"/>
    <w:rsid w:val="00687C22"/>
    <w:rsid w:val="006D7379"/>
    <w:rsid w:val="006F6010"/>
    <w:rsid w:val="0073175C"/>
    <w:rsid w:val="00743C6E"/>
    <w:rsid w:val="00771CA2"/>
    <w:rsid w:val="007F2256"/>
    <w:rsid w:val="00800D08"/>
    <w:rsid w:val="00893CBE"/>
    <w:rsid w:val="008E4229"/>
    <w:rsid w:val="00906117"/>
    <w:rsid w:val="00913270"/>
    <w:rsid w:val="00917D4C"/>
    <w:rsid w:val="009C0431"/>
    <w:rsid w:val="009C73FE"/>
    <w:rsid w:val="009F6BD4"/>
    <w:rsid w:val="00A12164"/>
    <w:rsid w:val="00A13AFA"/>
    <w:rsid w:val="00A232D9"/>
    <w:rsid w:val="00A23846"/>
    <w:rsid w:val="00A331B9"/>
    <w:rsid w:val="00B00068"/>
    <w:rsid w:val="00B01924"/>
    <w:rsid w:val="00B22BB9"/>
    <w:rsid w:val="00B34B50"/>
    <w:rsid w:val="00B80FF4"/>
    <w:rsid w:val="00B945A1"/>
    <w:rsid w:val="00BA6C9C"/>
    <w:rsid w:val="00BC741A"/>
    <w:rsid w:val="00C14F25"/>
    <w:rsid w:val="00C27BC4"/>
    <w:rsid w:val="00C67445"/>
    <w:rsid w:val="00C86056"/>
    <w:rsid w:val="00C873D0"/>
    <w:rsid w:val="00CB0AAD"/>
    <w:rsid w:val="00D310F0"/>
    <w:rsid w:val="00D54DFE"/>
    <w:rsid w:val="00D755FD"/>
    <w:rsid w:val="00D86ACB"/>
    <w:rsid w:val="00DB26B8"/>
    <w:rsid w:val="00DC3639"/>
    <w:rsid w:val="00DF2AB7"/>
    <w:rsid w:val="00DF4647"/>
    <w:rsid w:val="00E063A2"/>
    <w:rsid w:val="00E17822"/>
    <w:rsid w:val="00E34BEE"/>
    <w:rsid w:val="00E6403D"/>
    <w:rsid w:val="00E6678A"/>
    <w:rsid w:val="00E8647D"/>
    <w:rsid w:val="00E86A98"/>
    <w:rsid w:val="00E95E7C"/>
    <w:rsid w:val="00E9767C"/>
    <w:rsid w:val="00E97AAF"/>
    <w:rsid w:val="00EA4A78"/>
    <w:rsid w:val="00EB6F58"/>
    <w:rsid w:val="00EF12A9"/>
    <w:rsid w:val="00F54E8D"/>
    <w:rsid w:val="00F70FAB"/>
    <w:rsid w:val="00F73F75"/>
    <w:rsid w:val="00F821B3"/>
    <w:rsid w:val="00FA02A2"/>
    <w:rsid w:val="00FD779B"/>
    <w:rsid w:val="00FE15A7"/>
    <w:rsid w:val="00FF639E"/>
    <w:rsid w:val="0D424094"/>
    <w:rsid w:val="1BD5B790"/>
    <w:rsid w:val="2155A437"/>
    <w:rsid w:val="23B8AFC3"/>
    <w:rsid w:val="4382F73F"/>
    <w:rsid w:val="552B63D2"/>
    <w:rsid w:val="61542A6A"/>
    <w:rsid w:val="783E2081"/>
    <w:rsid w:val="78EFB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0409D"/>
  <w15:chartTrackingRefBased/>
  <w15:docId w15:val="{D47F1B75-2808-4826-B078-2F3B3BA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63A2"/>
    <w:pPr>
      <w:spacing w:after="0" w:line="240" w:lineRule="auto"/>
    </w:pPr>
    <w:rPr>
      <w:sz w:val="20"/>
      <w:szCs w:val="20"/>
      <w:lang w:val="nb-NO"/>
    </w:rPr>
  </w:style>
  <w:style w:type="character" w:customStyle="1" w:styleId="FootnoteTextChar">
    <w:name w:val="Footnote Text Char"/>
    <w:basedOn w:val="DefaultParagraphFont"/>
    <w:link w:val="FootnoteText"/>
    <w:uiPriority w:val="99"/>
    <w:semiHidden/>
    <w:rsid w:val="00E063A2"/>
    <w:rPr>
      <w:sz w:val="20"/>
      <w:szCs w:val="20"/>
      <w:lang w:val="nb-NO"/>
    </w:rPr>
  </w:style>
  <w:style w:type="character" w:styleId="FootnoteReference">
    <w:name w:val="footnote reference"/>
    <w:basedOn w:val="DefaultParagraphFont"/>
    <w:uiPriority w:val="99"/>
    <w:semiHidden/>
    <w:unhideWhenUsed/>
    <w:rsid w:val="00E063A2"/>
    <w:rPr>
      <w:vertAlign w:val="superscript"/>
    </w:rPr>
  </w:style>
  <w:style w:type="paragraph" w:styleId="NoSpacing">
    <w:name w:val="No Spacing"/>
    <w:uiPriority w:val="1"/>
    <w:qFormat/>
    <w:rsid w:val="00E063A2"/>
    <w:pPr>
      <w:spacing w:after="0" w:line="240" w:lineRule="auto"/>
    </w:pPr>
    <w:rPr>
      <w:lang w:val="nb-NO"/>
    </w:rPr>
  </w:style>
  <w:style w:type="character" w:styleId="Hyperlink">
    <w:name w:val="Hyperlink"/>
    <w:basedOn w:val="DefaultParagraphFont"/>
    <w:uiPriority w:val="99"/>
    <w:unhideWhenUsed/>
    <w:rsid w:val="00E063A2"/>
    <w:rPr>
      <w:color w:val="0000FF"/>
      <w:u w:val="single"/>
    </w:rPr>
  </w:style>
  <w:style w:type="paragraph" w:styleId="Header">
    <w:name w:val="header"/>
    <w:basedOn w:val="Normal"/>
    <w:link w:val="HeaderChar"/>
    <w:unhideWhenUsed/>
    <w:rsid w:val="00E063A2"/>
    <w:pPr>
      <w:tabs>
        <w:tab w:val="center" w:pos="4536"/>
        <w:tab w:val="right" w:pos="9072"/>
      </w:tabs>
      <w:spacing w:after="0" w:line="240" w:lineRule="auto"/>
    </w:pPr>
    <w:rPr>
      <w:lang w:val="nb-NO"/>
    </w:rPr>
  </w:style>
  <w:style w:type="character" w:customStyle="1" w:styleId="HeaderChar">
    <w:name w:val="Header Char"/>
    <w:basedOn w:val="DefaultParagraphFont"/>
    <w:link w:val="Header"/>
    <w:rsid w:val="00E063A2"/>
    <w:rPr>
      <w:lang w:val="nb-NO"/>
    </w:rPr>
  </w:style>
  <w:style w:type="paragraph" w:styleId="Footer">
    <w:name w:val="footer"/>
    <w:basedOn w:val="Normal"/>
    <w:link w:val="FooterChar"/>
    <w:uiPriority w:val="99"/>
    <w:unhideWhenUsed/>
    <w:rsid w:val="00E063A2"/>
    <w:pPr>
      <w:tabs>
        <w:tab w:val="center" w:pos="4536"/>
        <w:tab w:val="right" w:pos="9072"/>
      </w:tabs>
      <w:spacing w:after="0" w:line="240" w:lineRule="auto"/>
    </w:pPr>
    <w:rPr>
      <w:lang w:val="nb-NO"/>
    </w:rPr>
  </w:style>
  <w:style w:type="character" w:customStyle="1" w:styleId="FooterChar">
    <w:name w:val="Footer Char"/>
    <w:basedOn w:val="DefaultParagraphFont"/>
    <w:link w:val="Footer"/>
    <w:uiPriority w:val="99"/>
    <w:rsid w:val="00E063A2"/>
    <w:rPr>
      <w:lang w:val="nb-NO"/>
    </w:rPr>
  </w:style>
  <w:style w:type="character" w:styleId="PlaceholderText">
    <w:name w:val="Placeholder Text"/>
    <w:basedOn w:val="DefaultParagraphFont"/>
    <w:uiPriority w:val="99"/>
    <w:semiHidden/>
    <w:rsid w:val="00E063A2"/>
    <w:rPr>
      <w:color w:val="808080"/>
    </w:rPr>
  </w:style>
  <w:style w:type="paragraph" w:styleId="ListParagraph">
    <w:name w:val="List Paragraph"/>
    <w:basedOn w:val="Normal"/>
    <w:uiPriority w:val="34"/>
    <w:qFormat/>
    <w:rsid w:val="0073175C"/>
    <w:pPr>
      <w:numPr>
        <w:numId w:val="4"/>
      </w:numPr>
      <w:spacing w:after="0" w:line="276" w:lineRule="auto"/>
      <w:ind w:left="227" w:hanging="227"/>
      <w:contextualSpacing/>
    </w:pPr>
    <w:rPr>
      <w:sz w:val="21"/>
      <w:lang w:val="nb-NO"/>
    </w:rPr>
  </w:style>
  <w:style w:type="character" w:styleId="CommentReference">
    <w:name w:val="annotation reference"/>
    <w:basedOn w:val="DefaultParagraphFont"/>
    <w:uiPriority w:val="99"/>
    <w:semiHidden/>
    <w:unhideWhenUsed/>
    <w:rsid w:val="0073175C"/>
    <w:rPr>
      <w:sz w:val="16"/>
      <w:szCs w:val="16"/>
    </w:rPr>
  </w:style>
  <w:style w:type="paragraph" w:styleId="CommentText">
    <w:name w:val="annotation text"/>
    <w:basedOn w:val="Normal"/>
    <w:link w:val="CommentTextChar"/>
    <w:uiPriority w:val="99"/>
    <w:semiHidden/>
    <w:unhideWhenUsed/>
    <w:rsid w:val="0073175C"/>
    <w:pPr>
      <w:spacing w:line="240" w:lineRule="auto"/>
    </w:pPr>
    <w:rPr>
      <w:sz w:val="20"/>
      <w:szCs w:val="20"/>
    </w:rPr>
  </w:style>
  <w:style w:type="character" w:customStyle="1" w:styleId="CommentTextChar">
    <w:name w:val="Comment Text Char"/>
    <w:basedOn w:val="DefaultParagraphFont"/>
    <w:link w:val="CommentText"/>
    <w:uiPriority w:val="99"/>
    <w:semiHidden/>
    <w:rsid w:val="0073175C"/>
    <w:rPr>
      <w:sz w:val="20"/>
      <w:szCs w:val="20"/>
    </w:rPr>
  </w:style>
  <w:style w:type="paragraph" w:styleId="CommentSubject">
    <w:name w:val="annotation subject"/>
    <w:basedOn w:val="CommentText"/>
    <w:next w:val="CommentText"/>
    <w:link w:val="CommentSubjectChar"/>
    <w:uiPriority w:val="99"/>
    <w:semiHidden/>
    <w:unhideWhenUsed/>
    <w:rsid w:val="0073175C"/>
    <w:rPr>
      <w:b/>
      <w:bCs/>
    </w:rPr>
  </w:style>
  <w:style w:type="character" w:customStyle="1" w:styleId="CommentSubjectChar">
    <w:name w:val="Comment Subject Char"/>
    <w:basedOn w:val="CommentTextChar"/>
    <w:link w:val="CommentSubject"/>
    <w:uiPriority w:val="99"/>
    <w:semiHidden/>
    <w:rsid w:val="0073175C"/>
    <w:rPr>
      <w:b/>
      <w:bCs/>
      <w:sz w:val="20"/>
      <w:szCs w:val="20"/>
    </w:rPr>
  </w:style>
  <w:style w:type="paragraph" w:styleId="BalloonText">
    <w:name w:val="Balloon Text"/>
    <w:basedOn w:val="Normal"/>
    <w:link w:val="BalloonTextChar"/>
    <w:uiPriority w:val="99"/>
    <w:semiHidden/>
    <w:unhideWhenUsed/>
    <w:rsid w:val="00731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75C"/>
    <w:rPr>
      <w:rFonts w:ascii="Segoe UI" w:hAnsi="Segoe UI" w:cs="Segoe UI"/>
      <w:sz w:val="18"/>
      <w:szCs w:val="18"/>
    </w:rPr>
  </w:style>
  <w:style w:type="character" w:styleId="UnresolvedMention">
    <w:name w:val="Unresolved Mention"/>
    <w:basedOn w:val="DefaultParagraphFont"/>
    <w:uiPriority w:val="99"/>
    <w:unhideWhenUsed/>
    <w:rsid w:val="000E7440"/>
    <w:rPr>
      <w:color w:val="605E5C"/>
      <w:shd w:val="clear" w:color="auto" w:fill="E1DFDD"/>
    </w:rPr>
  </w:style>
  <w:style w:type="character" w:styleId="Mention">
    <w:name w:val="Mention"/>
    <w:basedOn w:val="DefaultParagraphFont"/>
    <w:uiPriority w:val="99"/>
    <w:unhideWhenUsed/>
    <w:rsid w:val="000E74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anskaffelser.no/tema/sosialt-ansvar"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4" ma:contentTypeDescription="Opprett et nytt dokument." ma:contentTypeScope="" ma:versionID="016e39b908d3009b1d4bcd25278516fa">
  <xsd:schema xmlns:xsd="http://www.w3.org/2001/XMLSchema" xmlns:xs="http://www.w3.org/2001/XMLSchema" xmlns:p="http://schemas.microsoft.com/office/2006/metadata/properties" xmlns:ns2="5371e8e2-a9e8-46df-a91b-761db99c8728" targetNamespace="http://schemas.microsoft.com/office/2006/metadata/properties" ma:root="true" ma:fieldsID="ab624b8eeb88ae44ede60433a2c58478" ns2:_="">
    <xsd:import namespace="5371e8e2-a9e8-46df-a91b-761db99c87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2D3E-AD64-4A38-9C17-7FAD7FCC9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4854F-1BD5-41A2-9643-BD18513B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B4EDB-8B17-4BC8-8EF9-85B87007DCB0}">
  <ds:schemaRefs>
    <ds:schemaRef ds:uri="http://schemas.microsoft.com/sharepoint/v3/contenttype/forms"/>
  </ds:schemaRefs>
</ds:datastoreItem>
</file>

<file path=customXml/itemProps4.xml><?xml version="1.0" encoding="utf-8"?>
<ds:datastoreItem xmlns:ds="http://schemas.openxmlformats.org/officeDocument/2006/customXml" ds:itemID="{93551DE7-34D8-4155-AC95-039C7823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3493</Characters>
  <Application>Microsoft Office Word</Application>
  <DocSecurity>4</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Anne Cathrine</dc:creator>
  <cp:keywords/>
  <dc:description/>
  <cp:lastModifiedBy>Lund, Cathrine</cp:lastModifiedBy>
  <cp:revision>73</cp:revision>
  <dcterms:created xsi:type="dcterms:W3CDTF">2020-01-30T18:04:00Z</dcterms:created>
  <dcterms:modified xsi:type="dcterms:W3CDTF">2020-01-31T18:51:00Z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